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6C" w:rsidRDefault="00987B6C" w:rsidP="00987B6C">
      <w:pPr>
        <w:jc w:val="right"/>
      </w:pPr>
      <w:r>
        <w:t xml:space="preserve">    Załącznik Nr 3 do Projektu Uchwały WPF  </w:t>
      </w:r>
    </w:p>
    <w:p w:rsidR="00987B6C" w:rsidRDefault="00987B6C" w:rsidP="00987B6C">
      <w:pPr>
        <w:jc w:val="right"/>
      </w:pPr>
    </w:p>
    <w:p w:rsidR="00987B6C" w:rsidRDefault="00987B6C" w:rsidP="00987B6C">
      <w:pPr>
        <w:jc w:val="center"/>
      </w:pPr>
    </w:p>
    <w:p w:rsidR="00987B6C" w:rsidRPr="000A703E" w:rsidRDefault="00987B6C" w:rsidP="00987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Objaśnienia</w:t>
      </w:r>
      <w:r w:rsidRPr="000A703E">
        <w:rPr>
          <w:b/>
          <w:sz w:val="28"/>
          <w:szCs w:val="28"/>
        </w:rPr>
        <w:t xml:space="preserve"> przyjętych wartości do Wieloletniej Prognozy Finansowej Gminy Nowa Sol – Miasto </w:t>
      </w:r>
      <w:r>
        <w:rPr>
          <w:b/>
          <w:sz w:val="28"/>
          <w:szCs w:val="28"/>
        </w:rPr>
        <w:t>na lata 2016 – 2025</w:t>
      </w:r>
      <w:r w:rsidRPr="000A703E">
        <w:rPr>
          <w:b/>
          <w:sz w:val="28"/>
          <w:szCs w:val="28"/>
        </w:rPr>
        <w:t>.</w:t>
      </w:r>
    </w:p>
    <w:p w:rsidR="00987B6C" w:rsidRDefault="00987B6C" w:rsidP="00987B6C">
      <w:pPr>
        <w:jc w:val="center"/>
        <w:rPr>
          <w:b/>
        </w:rPr>
      </w:pPr>
    </w:p>
    <w:p w:rsidR="00987B6C" w:rsidRDefault="00987B6C" w:rsidP="00987B6C">
      <w:pPr>
        <w:jc w:val="both"/>
      </w:pPr>
    </w:p>
    <w:p w:rsidR="00987B6C" w:rsidRDefault="00987B6C" w:rsidP="00987B6C">
      <w:pPr>
        <w:jc w:val="both"/>
      </w:pPr>
      <w:r>
        <w:t xml:space="preserve">Opracowując Wieloletnią Prognoza Finansową Gminy Nowa Sol – Miasto kierowano się zarówno obecną sytuacją finansową kraju jak i sytuacją ekonomiczną oraz rozwojem gospodarczym Gminy Nowa Sól - Miasto. </w:t>
      </w:r>
    </w:p>
    <w:p w:rsidR="00987B6C" w:rsidRDefault="00987B6C" w:rsidP="00987B6C">
      <w:pPr>
        <w:jc w:val="both"/>
      </w:pPr>
      <w:r>
        <w:t>Na podstawie art. 230 ust. 1 ustawy o finansach publicznych zostało wydane zarządzenie Prezydenta Miasta z dnia 23 sierpnia 2011 r. w sprawie opracowania materiałów planistycznych do Wieloletniej Prognozy Finansowej Gminy Nowa Sól – Miasto, celem opracowania niezbędnych materiałów planistycznych, które były między innymi podstawą opracowania WPF i załącznika dotyczącego programów, projektów i umów.</w:t>
      </w:r>
    </w:p>
    <w:p w:rsidR="00987B6C" w:rsidRDefault="00987B6C" w:rsidP="00987B6C">
      <w:pPr>
        <w:jc w:val="both"/>
        <w:rPr>
          <w:szCs w:val="24"/>
        </w:rPr>
      </w:pPr>
      <w:r>
        <w:t>Uwzględniając zaciągnięte zobowiązania przez Gminę Nowa Sól – Miasto w zakresie zaciągniętych kredytów bankowych w BOŚ w Włocławku, Banku Hipotecznym w Warszawie, BRE Bank, NORDEA Bank oraz PKO S.A. w Zielonej Górze w lach poprzednich oraz wyemitowane obligacje komunalne w roku 2006 i 2010 przez Bank Gospodarstwa Krajowego w Warszawie</w:t>
      </w:r>
      <w:r>
        <w:rPr>
          <w:szCs w:val="24"/>
        </w:rPr>
        <w:t>,</w:t>
      </w:r>
      <w:r>
        <w:t xml:space="preserve"> Wieloletnia Prognoza Finansowa przygotowana została na lata 2016 – 2025. Długość okresu objętego prognozą wynika z art. 227 ust. 2 Ustawy z dnia 27 sierpnia 2009 roku o finansach publicznych (</w:t>
      </w:r>
      <w:proofErr w:type="spellStart"/>
      <w:r>
        <w:t>t.j</w:t>
      </w:r>
      <w:proofErr w:type="spellEnd"/>
      <w:r>
        <w:t xml:space="preserve">. </w:t>
      </w:r>
      <w:r w:rsidRPr="000E3F45">
        <w:rPr>
          <w:szCs w:val="24"/>
        </w:rPr>
        <w:t xml:space="preserve">Dz. U. </w:t>
      </w:r>
      <w:r>
        <w:rPr>
          <w:szCs w:val="24"/>
        </w:rPr>
        <w:t xml:space="preserve">z 2013 r., </w:t>
      </w:r>
      <w:r w:rsidRPr="000E3F45">
        <w:rPr>
          <w:szCs w:val="24"/>
        </w:rPr>
        <w:t xml:space="preserve">poz. </w:t>
      </w:r>
      <w:r>
        <w:rPr>
          <w:szCs w:val="24"/>
        </w:rPr>
        <w:t>885 ze zm.), a w przypadku Gminy Nowa Sól – Miasto okresem niezbędnym do opracowania Wieloletniej Prognozy Finansowej jest rok 2016, który rozpoczyna planowanie oraz rok 2025 jako rok ostatecznej spłaty ostatniej serii 15 letnich obligacji komunalnych wyemitowanych w roku 2010 i kredytu zaciągniętego w roku 2013 w wysokości 18.000.000 zł.</w:t>
      </w:r>
    </w:p>
    <w:p w:rsidR="00987B6C" w:rsidRDefault="00987B6C" w:rsidP="00987B6C">
      <w:pPr>
        <w:spacing w:before="120"/>
        <w:jc w:val="both"/>
        <w:rPr>
          <w:szCs w:val="24"/>
        </w:rPr>
      </w:pPr>
      <w:r>
        <w:rPr>
          <w:szCs w:val="24"/>
        </w:rPr>
        <w:t>Odległy czas prognozowania zwiększa ryzyko niewłaściwego oszacowania wartości przyjętych w prognozie w odniesieniu do faktycznie uzyskanych. Zwracając uwagę na kroczący charakter prognozy, która corocznie będzie nowelizowana przyjęto następujące założenia:</w:t>
      </w:r>
    </w:p>
    <w:p w:rsidR="00987B6C" w:rsidRDefault="00987B6C" w:rsidP="00987B6C">
      <w:pPr>
        <w:ind w:left="180" w:hanging="180"/>
        <w:jc w:val="both"/>
        <w:rPr>
          <w:szCs w:val="24"/>
        </w:rPr>
      </w:pPr>
      <w:r>
        <w:rPr>
          <w:szCs w:val="24"/>
        </w:rPr>
        <w:t>-  dla roku 2016 przyjęto wartości wynikające z projektu budżetu Gminy Nowa Sól – Miastowa na rok 2016, których uzasadnienie załączono do projektu uchwały budżetowej,</w:t>
      </w:r>
    </w:p>
    <w:p w:rsidR="00987B6C" w:rsidRDefault="00987B6C" w:rsidP="00987B6C">
      <w:pPr>
        <w:spacing w:before="120"/>
        <w:ind w:left="180" w:hanging="180"/>
        <w:jc w:val="both"/>
        <w:rPr>
          <w:szCs w:val="24"/>
        </w:rPr>
      </w:pPr>
      <w:r>
        <w:rPr>
          <w:szCs w:val="24"/>
        </w:rPr>
        <w:t xml:space="preserve">-  dla lat 2017-2019 zastosowano średnioroczny wzrost dochodów bieżących o 3,0 %, w tym    </w:t>
      </w:r>
    </w:p>
    <w:p w:rsidR="00987B6C" w:rsidRDefault="00987B6C" w:rsidP="00987B6C">
      <w:pPr>
        <w:ind w:left="180" w:hanging="180"/>
        <w:jc w:val="both"/>
        <w:rPr>
          <w:szCs w:val="24"/>
        </w:rPr>
      </w:pPr>
      <w:r>
        <w:rPr>
          <w:szCs w:val="24"/>
        </w:rPr>
        <w:t xml:space="preserve">   dochody z tytułu podatków i opłat lokalnych na poziomie planowanego wzrostu przyjętego  dla roku 2016 o 4,0 %, pozostałe źródła dochodów przyjęto przy zastosowaniu wskaźnika wzrostu na poziomie 2,0 %, natomiast w zakresie wydatków przyjęto następujące założenia:</w:t>
      </w:r>
    </w:p>
    <w:p w:rsidR="00987B6C" w:rsidRDefault="00987B6C" w:rsidP="00987B6C">
      <w:pPr>
        <w:spacing w:before="120"/>
        <w:ind w:left="538" w:hanging="357"/>
        <w:jc w:val="both"/>
        <w:rPr>
          <w:szCs w:val="24"/>
        </w:rPr>
      </w:pPr>
      <w:r>
        <w:rPr>
          <w:szCs w:val="24"/>
        </w:rPr>
        <w:t>a)  racjonalne gospodarowanie środkami budżetowymi ze szczególnym uwzględnieniem wydatków rzeczowych w sferze administracji i placówek oświatowo wychowawczych,</w:t>
      </w:r>
    </w:p>
    <w:p w:rsidR="00987B6C" w:rsidRDefault="00987B6C" w:rsidP="00987B6C">
      <w:pPr>
        <w:spacing w:before="120"/>
        <w:ind w:left="538" w:hanging="357"/>
        <w:jc w:val="both"/>
        <w:rPr>
          <w:szCs w:val="24"/>
        </w:rPr>
      </w:pPr>
      <w:r>
        <w:rPr>
          <w:szCs w:val="24"/>
        </w:rPr>
        <w:t>b) średnioroczny wzrost wynagrodzeń pracowników administracji i obsługi wszystkich jednostek organizacyjnych Gminy Nowa Sól – Miasto w roku 2065 przyjęto na poziomie 3,0 % i takie założenia przyjęto na następne lata prognozy, natomiast wynagrodzenia nauczycieli w roku 2016 przyjęto na niezmienionym poziomie, natomiast od roku 2017 zaplanowano wzrost na poziomie średnio 3,0 % każdego roku,</w:t>
      </w:r>
    </w:p>
    <w:p w:rsidR="00987B6C" w:rsidRDefault="00987B6C" w:rsidP="00987B6C">
      <w:pPr>
        <w:spacing w:before="120"/>
        <w:ind w:left="538" w:hanging="357"/>
        <w:jc w:val="both"/>
        <w:rPr>
          <w:szCs w:val="24"/>
        </w:rPr>
      </w:pPr>
      <w:r>
        <w:rPr>
          <w:szCs w:val="24"/>
        </w:rPr>
        <w:t xml:space="preserve">c) zapewnienie nakładów inwestycyjnych na realizację projektów i programów finansowanych  z udziałem środków z LRPO i EWT, ze szczególnym uwzględnieniem zadania „Przyjazna Komunikacja Miejska – Centra Obsługi NOF” o znacznej wartości nakładów oraz zadań związanych z gminną infrastrukturą drogową i możliwością </w:t>
      </w:r>
      <w:r>
        <w:rPr>
          <w:szCs w:val="24"/>
        </w:rPr>
        <w:lastRenderedPageBreak/>
        <w:t>pozyskania dofinansowania z Programu rozwoju gminnej i powiatowej infrastruktury drogowej na lata 2016 - 2019,</w:t>
      </w:r>
    </w:p>
    <w:p w:rsidR="00987B6C" w:rsidRDefault="00987B6C" w:rsidP="00987B6C">
      <w:pPr>
        <w:spacing w:before="120"/>
        <w:ind w:left="538" w:hanging="357"/>
        <w:jc w:val="both"/>
        <w:rPr>
          <w:szCs w:val="24"/>
        </w:rPr>
      </w:pPr>
      <w:r>
        <w:rPr>
          <w:szCs w:val="24"/>
        </w:rPr>
        <w:t>d) koncentracja nakładów inwestycyjnych na zadania prorozwojowe w tym przede wszystkim z zakresu uzbrojenia terenów w południowej części miasta w infrastrukturę, oraz przygotowanie dokumentacji na zadania planowane do realizacji w latach następnych,</w:t>
      </w:r>
    </w:p>
    <w:p w:rsidR="00987B6C" w:rsidRDefault="00987B6C" w:rsidP="00987B6C">
      <w:pPr>
        <w:spacing w:before="120"/>
        <w:ind w:left="538" w:hanging="357"/>
        <w:jc w:val="both"/>
        <w:rPr>
          <w:szCs w:val="24"/>
        </w:rPr>
      </w:pPr>
      <w:r>
        <w:rPr>
          <w:szCs w:val="24"/>
        </w:rPr>
        <w:t xml:space="preserve">e)  dążenie do zmniejszania długu Gminy Nowa Sól – Miasto, natomiast w przypadku konieczności zaciągania nowych długów wyłącznie z tytułu planowanych do realizacji przedsięwzięć inwestycyjnych przy udziale zewnętrznych środków finansowych, pochodzących z programów Unii Europejskiej oraz Programu rozwoju gminnej i powiatowej infrastruktury drogowej na lata 2016 - 2019, </w:t>
      </w:r>
    </w:p>
    <w:p w:rsidR="00987B6C" w:rsidRDefault="00987B6C" w:rsidP="00987B6C">
      <w:pPr>
        <w:ind w:left="180"/>
        <w:jc w:val="both"/>
        <w:rPr>
          <w:szCs w:val="24"/>
        </w:rPr>
      </w:pPr>
    </w:p>
    <w:p w:rsidR="00987B6C" w:rsidRDefault="00987B6C" w:rsidP="00987B6C">
      <w:pPr>
        <w:ind w:left="180" w:hanging="180"/>
        <w:jc w:val="both"/>
        <w:rPr>
          <w:szCs w:val="24"/>
        </w:rPr>
      </w:pPr>
      <w:r>
        <w:rPr>
          <w:szCs w:val="24"/>
        </w:rPr>
        <w:t>- dla lat 2020-2025 przyjęto sposób prognozowania, poprzez indeksację o poszczególne wskaźniki przyjęte przez budżet państwa, oraz korekty merytoryczne.</w:t>
      </w:r>
    </w:p>
    <w:p w:rsidR="00987B6C" w:rsidRDefault="00987B6C" w:rsidP="00987B6C">
      <w:pPr>
        <w:spacing w:before="120"/>
        <w:jc w:val="both"/>
        <w:rPr>
          <w:szCs w:val="24"/>
        </w:rPr>
      </w:pPr>
      <w:r>
        <w:rPr>
          <w:szCs w:val="24"/>
        </w:rPr>
        <w:t xml:space="preserve">Podzielenie prognozy w powyższy sposób pozwala na realną ocenę możliwości inwestycyjnych Gminy Nowa Sól – Miasto oraz potrzeb kredytowych.    </w:t>
      </w:r>
    </w:p>
    <w:p w:rsidR="00987B6C" w:rsidRPr="002D20C3" w:rsidRDefault="00987B6C" w:rsidP="00987B6C">
      <w:pPr>
        <w:spacing w:before="120"/>
        <w:jc w:val="both"/>
        <w:rPr>
          <w:szCs w:val="24"/>
        </w:rPr>
      </w:pPr>
      <w:r>
        <w:rPr>
          <w:szCs w:val="24"/>
        </w:rPr>
        <w:t xml:space="preserve">Usztywnienie prognozy po roku 2020 spowodowane jest racjonalną koniecznością. Niestabilność i nieprzewidywalność cykli gospodarczych w tak długim okresie planowania </w:t>
      </w:r>
      <w:proofErr w:type="spellStart"/>
      <w:r>
        <w:rPr>
          <w:szCs w:val="24"/>
        </w:rPr>
        <w:t>tj</w:t>
      </w:r>
      <w:proofErr w:type="spellEnd"/>
      <w:r>
        <w:rPr>
          <w:szCs w:val="24"/>
        </w:rPr>
        <w:t xml:space="preserve"> do roku 2025, wynikającego z zaciągniętych zobowiązań długoterminowych, nakazuje zachowanie szczególnej ostrożności dla prognoz długookresowych. Ponadto brak stabilnego odniesienia dla długofalowej polityki finansowej samorządu oraz znaczna zmienność budżetów gminy w ciągu ostatnich dziesięciu lat wymuszają określenie granicy rozwoju samorządu terytorialnego.</w:t>
      </w:r>
    </w:p>
    <w:p w:rsidR="00987B6C" w:rsidRDefault="00987B6C" w:rsidP="00987B6C">
      <w:pPr>
        <w:spacing w:before="120"/>
        <w:jc w:val="both"/>
      </w:pPr>
      <w:r>
        <w:t>Do prognozy dochodów bieżących przyjęto podział  ze względu na źródła dochodów:</w:t>
      </w:r>
    </w:p>
    <w:p w:rsidR="00987B6C" w:rsidRDefault="00987B6C" w:rsidP="00987B6C">
      <w:pPr>
        <w:spacing w:before="120"/>
        <w:jc w:val="both"/>
      </w:pPr>
      <w:r>
        <w:t>1. w dochodach ogółem dokonano podziału na dochody bieżące i majątkowe,</w:t>
      </w:r>
    </w:p>
    <w:p w:rsidR="00987B6C" w:rsidRDefault="00987B6C" w:rsidP="00987B6C">
      <w:pPr>
        <w:spacing w:before="120"/>
        <w:ind w:left="360" w:hanging="360"/>
        <w:jc w:val="both"/>
      </w:pPr>
      <w:r>
        <w:t>2. w dochodach bieżących prognozowane wielkości przyjęto w podziale ze względu na źródła powstawania dochodów, a mianowicie:</w:t>
      </w:r>
    </w:p>
    <w:p w:rsidR="00987B6C" w:rsidRDefault="00987B6C" w:rsidP="00987B6C">
      <w:pPr>
        <w:spacing w:before="120"/>
        <w:ind w:left="357" w:hanging="357"/>
        <w:jc w:val="both"/>
      </w:pPr>
      <w:r>
        <w:t xml:space="preserve"> a) dochody bieżące własne razem z udziałem w podatkach stanowiących dochód budżetu państwa w których uwzględniono: </w:t>
      </w:r>
    </w:p>
    <w:p w:rsidR="00987B6C" w:rsidRDefault="00987B6C" w:rsidP="00987B6C">
      <w:pPr>
        <w:ind w:left="540" w:hanging="180"/>
        <w:jc w:val="both"/>
      </w:pPr>
      <w:r>
        <w:t xml:space="preserve">- podatki: od nieruchomości, rolny, leśny, od środków transportowych, od czynności cywilno-prawnych, od spadków i darowizn, </w:t>
      </w:r>
    </w:p>
    <w:p w:rsidR="00987B6C" w:rsidRDefault="00987B6C" w:rsidP="00987B6C">
      <w:pPr>
        <w:ind w:left="360"/>
        <w:jc w:val="both"/>
      </w:pPr>
      <w:r>
        <w:t>- opłaty: skarbową, targową, za zezwolenie na sprzedaż alkoholu i inne różne opłaty,</w:t>
      </w:r>
    </w:p>
    <w:p w:rsidR="00987B6C" w:rsidRDefault="00987B6C" w:rsidP="00987B6C">
      <w:pPr>
        <w:ind w:left="540" w:hanging="180"/>
        <w:jc w:val="both"/>
      </w:pPr>
      <w:r>
        <w:t xml:space="preserve">- udział w podatku dochodowym od osób fizycznych (PIT) i udział w podatku dochodowym od osób prawnych (CIT), </w:t>
      </w:r>
    </w:p>
    <w:p w:rsidR="00987B6C" w:rsidRDefault="00987B6C" w:rsidP="00987B6C">
      <w:pPr>
        <w:ind w:left="360"/>
        <w:jc w:val="both"/>
      </w:pPr>
      <w:r>
        <w:t xml:space="preserve">- wpływy z tytułu opłaty za zarząd i wieczyste użytkowanie nieruchomości, </w:t>
      </w:r>
    </w:p>
    <w:p w:rsidR="00987B6C" w:rsidRDefault="00987B6C" w:rsidP="00987B6C">
      <w:pPr>
        <w:ind w:left="360"/>
        <w:jc w:val="both"/>
      </w:pPr>
      <w:r>
        <w:t xml:space="preserve">- wpływy z usług, </w:t>
      </w:r>
    </w:p>
    <w:p w:rsidR="00987B6C" w:rsidRDefault="00987B6C" w:rsidP="00987B6C">
      <w:pPr>
        <w:ind w:left="360"/>
        <w:jc w:val="both"/>
      </w:pPr>
      <w:r>
        <w:t>- wpływy z różnych dochodów,</w:t>
      </w:r>
    </w:p>
    <w:p w:rsidR="00987B6C" w:rsidRDefault="00987B6C" w:rsidP="00987B6C">
      <w:pPr>
        <w:ind w:left="360"/>
        <w:jc w:val="both"/>
      </w:pPr>
      <w:r>
        <w:t xml:space="preserve">- wpływy z nałożonych mandatów i kar na osoby fizyczne </w:t>
      </w:r>
    </w:p>
    <w:p w:rsidR="00987B6C" w:rsidRDefault="00987B6C" w:rsidP="00987B6C">
      <w:pPr>
        <w:spacing w:before="120"/>
        <w:ind w:left="181" w:hanging="181"/>
        <w:jc w:val="both"/>
      </w:pPr>
      <w:r>
        <w:t xml:space="preserve"> b) subwencja z budżetu państwa,</w:t>
      </w:r>
    </w:p>
    <w:p w:rsidR="00987B6C" w:rsidRDefault="00987B6C" w:rsidP="00987B6C">
      <w:pPr>
        <w:spacing w:before="120"/>
        <w:ind w:left="357" w:hanging="357"/>
        <w:jc w:val="both"/>
      </w:pPr>
      <w:r>
        <w:t xml:space="preserve"> c) dotacje celowe na zadania bieżące, ( w tym na zadania własne i zadania zlecone gminie do realizacji), </w:t>
      </w:r>
    </w:p>
    <w:p w:rsidR="00987B6C" w:rsidRDefault="00987B6C" w:rsidP="00987B6C">
      <w:pPr>
        <w:spacing w:before="120"/>
        <w:ind w:left="357" w:hanging="357"/>
        <w:jc w:val="both"/>
      </w:pPr>
      <w:r>
        <w:t xml:space="preserve"> d) środki unijne i inne środki zagraniczne nie podlegające zwrotowi pozyskane na zadania bieżące gminy.</w:t>
      </w:r>
    </w:p>
    <w:p w:rsidR="00987B6C" w:rsidRDefault="00987B6C" w:rsidP="00987B6C">
      <w:pPr>
        <w:spacing w:before="120"/>
        <w:jc w:val="both"/>
      </w:pPr>
      <w:r>
        <w:t>3. prognozowane dochody majątkowe opracowano w podziale na:</w:t>
      </w:r>
    </w:p>
    <w:p w:rsidR="00987B6C" w:rsidRDefault="00987B6C" w:rsidP="00987B6C">
      <w:pPr>
        <w:spacing w:before="120"/>
        <w:ind w:left="360" w:hanging="360"/>
        <w:jc w:val="both"/>
      </w:pPr>
      <w:r>
        <w:t>-  dochody z majątku gminy, wyszczególniając dochody ze sprzedaży majątku,</w:t>
      </w:r>
    </w:p>
    <w:p w:rsidR="00987B6C" w:rsidRDefault="00987B6C" w:rsidP="00987B6C">
      <w:pPr>
        <w:ind w:left="180" w:hanging="180"/>
        <w:jc w:val="both"/>
      </w:pPr>
      <w:r>
        <w:lastRenderedPageBreak/>
        <w:t>- dotacje na inwestycje (uwzględniając dofinansowanie z budżetu państwa oraz pozostałe środki na inwestycje),</w:t>
      </w:r>
    </w:p>
    <w:p w:rsidR="00987B6C" w:rsidRDefault="00987B6C" w:rsidP="00987B6C">
      <w:pPr>
        <w:ind w:left="180" w:hanging="180"/>
        <w:jc w:val="both"/>
      </w:pPr>
      <w:r>
        <w:t>-  środki unijne i inne środki zagraniczne nie podlegające zwrotowi na zadania inwestycyjne i zakupy inwestycyjne.</w:t>
      </w:r>
    </w:p>
    <w:p w:rsidR="00987B6C" w:rsidRDefault="00987B6C" w:rsidP="00987B6C">
      <w:pPr>
        <w:jc w:val="both"/>
      </w:pPr>
    </w:p>
    <w:p w:rsidR="00987B6C" w:rsidRDefault="00987B6C" w:rsidP="00987B6C">
      <w:pPr>
        <w:jc w:val="both"/>
      </w:pPr>
      <w:r>
        <w:t>Wydatki związane z obsługą zadłużenia zostały wyliczone zgodnie z harmonogramem spłaty zobowiązań już zaciągniętych oraz planowanego do zaciągnięcia kredyt na spłatę zobowiązań z lat ubiegłych, przyjmując warunki zawarte w umowach o zaciągnięciu zobowiązania , oraz planowane na poziomie dotychczas uzyskanych, a mianowicie :</w:t>
      </w:r>
    </w:p>
    <w:p w:rsidR="00987B6C" w:rsidRDefault="00987B6C" w:rsidP="00987B6C">
      <w:pPr>
        <w:numPr>
          <w:ilvl w:val="0"/>
          <w:numId w:val="1"/>
        </w:numPr>
        <w:spacing w:before="120"/>
        <w:ind w:left="714" w:hanging="357"/>
        <w:jc w:val="both"/>
      </w:pPr>
      <w:r>
        <w:t>obligacje komunalne wyemitowane przez BGK w roku 2006 w wysokości   10.000.000 zł., pozostała spłata 1 raty w roku 2016 w wysokości 2.000.000 zł., oprocentowanie średnioważona bonów skarbowych + 0,78 %</w:t>
      </w:r>
    </w:p>
    <w:p w:rsidR="00987B6C" w:rsidRDefault="00987B6C" w:rsidP="00987B6C">
      <w:pPr>
        <w:numPr>
          <w:ilvl w:val="0"/>
          <w:numId w:val="1"/>
        </w:numPr>
        <w:spacing w:before="120"/>
        <w:ind w:left="714" w:hanging="357"/>
        <w:jc w:val="both"/>
      </w:pPr>
      <w:r>
        <w:t>obligacje komunalne wyemitowane przez BGK w roku 2010 w wysokości    28.000.000 zł., z terminem spłaty w latach 2017 – 2025 tj. w latach 2017-2018 po 2.000.000 zł., rocznie, w latach 2019-2022 po 3.000.000 zł., rocznie i w latach 2023 – 2025 po 4.000.000 zł., oprocentowanie WIBOR 6M + marża od 0,75 % do 0,95 % w zależności od roku spłaty,</w:t>
      </w:r>
    </w:p>
    <w:p w:rsidR="00987B6C" w:rsidRDefault="00987B6C" w:rsidP="00987B6C">
      <w:pPr>
        <w:numPr>
          <w:ilvl w:val="0"/>
          <w:numId w:val="1"/>
        </w:numPr>
        <w:spacing w:before="120"/>
        <w:ind w:left="714" w:hanging="357"/>
        <w:jc w:val="both"/>
      </w:pPr>
      <w:r>
        <w:t xml:space="preserve">kredyt długoterminowy zaciągnięty w Bank BRE (aktualnie po przekształceniu </w:t>
      </w:r>
      <w:proofErr w:type="spellStart"/>
      <w:r>
        <w:t>mBank</w:t>
      </w:r>
      <w:proofErr w:type="spellEnd"/>
      <w:r>
        <w:t>) w wysokości 14.112.000 zł., - pozostały do spłaty 3 raty, w tym: w roku 2016 w wysokości 1.612.000 zł., i w latach 2017-2018 dwie raty po 2.000.000 zł., oprocentowanie WIBOR 1M + marża 0,60 %,</w:t>
      </w:r>
    </w:p>
    <w:p w:rsidR="00987B6C" w:rsidRDefault="00987B6C" w:rsidP="00987B6C">
      <w:pPr>
        <w:numPr>
          <w:ilvl w:val="0"/>
          <w:numId w:val="1"/>
        </w:numPr>
        <w:spacing w:before="120"/>
        <w:ind w:left="714" w:hanging="357"/>
        <w:jc w:val="both"/>
      </w:pPr>
      <w:r>
        <w:t>kredyt długoterminowy zaciągnięty w Nordea Bank w wysokości 6.172.692 zł., - pozostało do spłaty 3 raty, w latach 2016 – 2018, 2 raty po 1.000.000 zł., rocznie oraz ostatnia rata w roku 2018 w wysokości 1.672.692 zł., oprocentowania WIBOR 1M + marża banku 1,48 %,</w:t>
      </w:r>
    </w:p>
    <w:p w:rsidR="00987B6C" w:rsidRDefault="00987B6C" w:rsidP="00987B6C">
      <w:pPr>
        <w:numPr>
          <w:ilvl w:val="0"/>
          <w:numId w:val="1"/>
        </w:numPr>
        <w:spacing w:before="120"/>
        <w:ind w:left="714" w:hanging="357"/>
        <w:jc w:val="both"/>
      </w:pPr>
      <w:r>
        <w:t>kredyt długoterminowy zaciągnięty w PKO SA w wysokości 18.000.000 zł., którego termin spłaty przypada na lata 2015 – 2025, w roku 2015 dokonano spłaty pierwszej raty w wysokości 1.000.000 zł., pozostanie do spłaty rata w roku 2016 w wysokości 1.000.000 zł., w latach 2017-2018 po 1.500.000 zł., rocznie w latach 2019 – 2022 po 2.000.000 zł., rocznie, w roku 2023 w wysokości 1.750.000 zł., w roku 2024 w wysokości 1.500.000 zł., oraz w roku 2025 w wysokości 1.750.000 zł., oprocentowanie WIBOR 1M + marża banku 0,62 %.</w:t>
      </w:r>
    </w:p>
    <w:p w:rsidR="00987B6C" w:rsidRPr="00B05A1D" w:rsidRDefault="00987B6C" w:rsidP="00987B6C">
      <w:pPr>
        <w:spacing w:before="120"/>
        <w:jc w:val="both"/>
      </w:pPr>
      <w:r>
        <w:t>Wydatki majątkowe w okresie objętym prognozą zostały rozpisane w załączniku nr 2 do uchwały, gdzie ujęto przedsięwzięcia o charakterze inwestycyjnym oraz zadania których realizacja nie przekroczy jednego roku w związku z czym nie zostały zawarte w załączniku dotyczącym przedsięwzięć. W pozostałych latach ustalono, iż całość środków pozostałych po spłacie zadłużenia i pokryciu wydatków bieżących będzie przeznaczana na inwestycje i spłatę zobowiązań z lat ubiegłych.</w:t>
      </w:r>
    </w:p>
    <w:p w:rsidR="00987B6C" w:rsidRDefault="00987B6C" w:rsidP="00987B6C">
      <w:pPr>
        <w:spacing w:before="120"/>
        <w:jc w:val="both"/>
      </w:pPr>
      <w:r>
        <w:t>Wynik budżetu w prognozowanym okresie jest ściśle powiązany z przyjętymi założeniami do prognozy dochodów i wydatków. Należy podkreślić fakt, iż w badanym okresie prognozowania wynik kształtował się na podobnym poziomie jaki przyjęto w analizie.</w:t>
      </w:r>
    </w:p>
    <w:p w:rsidR="00987B6C" w:rsidRPr="00B05A1D" w:rsidRDefault="00987B6C" w:rsidP="00987B6C">
      <w:pPr>
        <w:spacing w:before="120"/>
        <w:jc w:val="both"/>
      </w:pPr>
      <w:r>
        <w:t>Wynik z działalności operacyjnej jest pozycją bardzo istotną na skutek zapisu w  art. 242 Ustawy – organ stanowiący nie może uchwalić budżetu, w którym wydatki bieżące są wyższe od dochodów bieżących powiększonych o wolne środki. Należy podkreślić, iż zgodnie z prognozą w całym badanym okresie nie ma zagrożenia naruszenia powyższego zapisu.</w:t>
      </w:r>
    </w:p>
    <w:p w:rsidR="00987B6C" w:rsidRDefault="00987B6C" w:rsidP="00987B6C">
      <w:pPr>
        <w:spacing w:before="120"/>
        <w:jc w:val="both"/>
      </w:pPr>
      <w:r>
        <w:lastRenderedPageBreak/>
        <w:t xml:space="preserve">W prognozowanym okresie po stronie przychodów ujęto środki pochodzące z emisji obligacji komunalnych. </w:t>
      </w:r>
    </w:p>
    <w:p w:rsidR="00987B6C" w:rsidRPr="009F3895" w:rsidRDefault="00987B6C" w:rsidP="00987B6C">
      <w:pPr>
        <w:spacing w:before="120"/>
        <w:jc w:val="both"/>
      </w:pPr>
      <w:r>
        <w:t>Po stronie rozchodów w prognozowanym okresie przyjęto tylko przepływy związane ze spłatą rat kapitałowych zaciągniętych kredytów i emisji obligacji komunalnych. Ostatnie raty kapitałowe związane ze spłatą obligacji komunalnych i kredytu zaciągniętego w PKO SA w badanym okresie zostały zaplanowane na rok 2025.</w:t>
      </w:r>
    </w:p>
    <w:p w:rsidR="00987B6C" w:rsidRDefault="00987B6C" w:rsidP="00987B6C">
      <w:pPr>
        <w:spacing w:before="120"/>
        <w:jc w:val="both"/>
      </w:pPr>
      <w:r>
        <w:t>Począwszy od roku 2016 do końca okresu prognozowania sytuacja finansowa Gminy Nowa Sól – Miasto pozwala na spełnienie ustawowych obostrzeń dotyczących zadłużenia zapewniając jednocześnie stały i stabilny poziom inwestycji.</w:t>
      </w:r>
    </w:p>
    <w:p w:rsidR="00987B6C" w:rsidRDefault="00987B6C" w:rsidP="00987B6C">
      <w:pPr>
        <w:spacing w:before="840"/>
        <w:jc w:val="both"/>
      </w:pPr>
      <w:r>
        <w:t>Opracowała:</w:t>
      </w:r>
    </w:p>
    <w:p w:rsidR="00987B6C" w:rsidRPr="00967256" w:rsidRDefault="00987B6C" w:rsidP="00987B6C">
      <w:pPr>
        <w:jc w:val="both"/>
      </w:pPr>
      <w:r>
        <w:t>Skarbnik Miasta                                                        Prezydent Miasta</w:t>
      </w:r>
    </w:p>
    <w:p w:rsidR="00E36457" w:rsidRDefault="00E36457"/>
    <w:sectPr w:rsidR="00E36457" w:rsidSect="008B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2907"/>
    <w:multiLevelType w:val="hybridMultilevel"/>
    <w:tmpl w:val="BBEA9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87B6C"/>
    <w:rsid w:val="00987B6C"/>
    <w:rsid w:val="00B01D4B"/>
    <w:rsid w:val="00C338F0"/>
    <w:rsid w:val="00C5141D"/>
    <w:rsid w:val="00E36457"/>
    <w:rsid w:val="00E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7B6C"/>
    <w:pPr>
      <w:spacing w:after="0" w:line="240" w:lineRule="auto"/>
    </w:pPr>
    <w:rPr>
      <w:rFonts w:ascii="Times New Roman" w:eastAsia="Tahoma" w:hAnsi="Times New Roman" w:cs="Times New Roman"/>
      <w:sz w:val="24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C037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cdubaniowska</cp:lastModifiedBy>
  <cp:revision>2</cp:revision>
  <dcterms:created xsi:type="dcterms:W3CDTF">2015-11-15T15:25:00Z</dcterms:created>
  <dcterms:modified xsi:type="dcterms:W3CDTF">2015-11-15T15:25:00Z</dcterms:modified>
</cp:coreProperties>
</file>