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header2.xml" ContentType="application/vnd.openxmlformats-officedocument.wordprocessingml.header+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header1.xml" ContentType="application/vnd.openxmlformats-officedocument.wordprocessingml.header+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footer2.xml" ContentType="application/vnd.openxmlformats-officedocument.wordprocessingml.footer+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D20" w:rsidRPr="00662F03" w:rsidRDefault="00810D20" w:rsidP="004E5A9A">
      <w:pPr>
        <w:rPr>
          <w:rFonts w:ascii="Calibri" w:hAnsi="Calibri"/>
          <w:sz w:val="22"/>
        </w:rPr>
      </w:pPr>
    </w:p>
    <w:p w:rsidR="00E654E2" w:rsidRPr="00662F03" w:rsidRDefault="00E654E2" w:rsidP="004E5A9A">
      <w:pPr>
        <w:rPr>
          <w:rFonts w:ascii="Calibri" w:hAnsi="Calibri"/>
          <w:sz w:val="22"/>
        </w:rPr>
      </w:pPr>
    </w:p>
    <w:p w:rsidR="00E654E2" w:rsidRPr="00662F03" w:rsidRDefault="00E654E2" w:rsidP="004E5A9A">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rPr>
          <w:rFonts w:ascii="Calibri" w:hAnsi="Calibri"/>
          <w:sz w:val="22"/>
        </w:rPr>
      </w:pPr>
    </w:p>
    <w:p w:rsidR="0037001F" w:rsidRPr="00662F03" w:rsidRDefault="0037001F" w:rsidP="0037001F">
      <w:pPr>
        <w:jc w:val="center"/>
        <w:rPr>
          <w:rFonts w:ascii="Calibri" w:hAnsi="Calibri" w:cs="Calibri"/>
          <w:b/>
          <w:sz w:val="28"/>
          <w:szCs w:val="20"/>
        </w:rPr>
      </w:pPr>
      <w:r w:rsidRPr="00662F03">
        <w:rPr>
          <w:rFonts w:ascii="Calibri" w:hAnsi="Calibri" w:cs="Calibri"/>
          <w:b/>
          <w:sz w:val="28"/>
          <w:szCs w:val="20"/>
        </w:rPr>
        <w:t>Część I</w:t>
      </w:r>
    </w:p>
    <w:p w:rsidR="0037001F" w:rsidRPr="00662F03" w:rsidRDefault="0037001F" w:rsidP="0037001F">
      <w:pPr>
        <w:jc w:val="center"/>
        <w:rPr>
          <w:rFonts w:ascii="Calibri" w:hAnsi="Calibri" w:cs="Calibri"/>
          <w:b/>
          <w:caps/>
          <w:szCs w:val="20"/>
        </w:rPr>
      </w:pPr>
      <w:r w:rsidRPr="00662F03">
        <w:rPr>
          <w:rFonts w:ascii="Calibri" w:hAnsi="Calibri" w:cs="Calibri"/>
          <w:b/>
          <w:sz w:val="28"/>
          <w:szCs w:val="20"/>
        </w:rPr>
        <w:t>Diagnoza społeczno-gospodarcza</w:t>
      </w: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rPr>
      </w:pPr>
    </w:p>
    <w:p w:rsidR="0037001F" w:rsidRPr="00662F03" w:rsidRDefault="0037001F" w:rsidP="0037001F">
      <w:pPr>
        <w:jc w:val="center"/>
        <w:rPr>
          <w:rFonts w:ascii="Calibri" w:hAnsi="Calibri" w:cs="Calibri"/>
          <w:sz w:val="22"/>
        </w:rPr>
      </w:pPr>
    </w:p>
    <w:p w:rsidR="0037001F" w:rsidRPr="00662F03" w:rsidRDefault="0037001F">
      <w:pPr>
        <w:rPr>
          <w:rFonts w:ascii="Calibri" w:hAnsi="Calibri"/>
          <w:b/>
          <w:bCs/>
          <w:color w:val="365F91"/>
          <w:szCs w:val="28"/>
          <w:lang w:eastAsia="en-US"/>
        </w:rPr>
      </w:pPr>
      <w:r w:rsidRPr="00662F03">
        <w:rPr>
          <w:rFonts w:ascii="Calibri" w:hAnsi="Calibri"/>
        </w:rPr>
        <w:br w:type="page"/>
      </w:r>
    </w:p>
    <w:p w:rsidR="00CC47C4" w:rsidRPr="00662F03" w:rsidRDefault="006D4975" w:rsidP="004E5A9A">
      <w:pPr>
        <w:pStyle w:val="Nagwekspisutreci"/>
        <w:spacing w:line="240" w:lineRule="auto"/>
        <w:rPr>
          <w:rFonts w:ascii="Calibri" w:hAnsi="Calibri"/>
          <w:sz w:val="24"/>
        </w:rPr>
      </w:pPr>
      <w:r>
        <w:rPr>
          <w:rFonts w:ascii="Calibri" w:hAnsi="Calibri"/>
          <w:sz w:val="24"/>
        </w:rPr>
        <w:lastRenderedPageBreak/>
        <w:t>Spis treści</w:t>
      </w:r>
    </w:p>
    <w:p w:rsidR="00072369" w:rsidRDefault="005433B6">
      <w:pPr>
        <w:pStyle w:val="Spistreci1"/>
        <w:tabs>
          <w:tab w:val="left" w:pos="440"/>
          <w:tab w:val="right" w:leader="dot" w:pos="9062"/>
        </w:tabs>
        <w:rPr>
          <w:rFonts w:asciiTheme="minorHAnsi" w:eastAsiaTheme="minorEastAsia" w:hAnsiTheme="minorHAnsi" w:cstheme="minorBidi"/>
          <w:noProof/>
          <w:sz w:val="22"/>
          <w:szCs w:val="22"/>
        </w:rPr>
      </w:pPr>
      <w:r w:rsidRPr="00662F03">
        <w:rPr>
          <w:rFonts w:ascii="Calibri" w:hAnsi="Calibri"/>
          <w:sz w:val="20"/>
          <w:szCs w:val="22"/>
        </w:rPr>
        <w:fldChar w:fldCharType="begin"/>
      </w:r>
      <w:r w:rsidR="00CC47C4" w:rsidRPr="00662F03">
        <w:rPr>
          <w:rFonts w:ascii="Calibri" w:hAnsi="Calibri"/>
          <w:sz w:val="20"/>
          <w:szCs w:val="22"/>
        </w:rPr>
        <w:instrText xml:space="preserve"> TOC \o "1-3" \h \z \u </w:instrText>
      </w:r>
      <w:r w:rsidRPr="00662F03">
        <w:rPr>
          <w:rFonts w:ascii="Calibri" w:hAnsi="Calibri"/>
          <w:sz w:val="20"/>
          <w:szCs w:val="22"/>
        </w:rPr>
        <w:fldChar w:fldCharType="separate"/>
      </w:r>
      <w:hyperlink w:anchor="_Toc316395252" w:history="1">
        <w:r w:rsidR="00072369" w:rsidRPr="009718AF">
          <w:rPr>
            <w:rStyle w:val="Hipercze"/>
            <w:rFonts w:ascii="Calibri" w:hAnsi="Calibri"/>
            <w:noProof/>
          </w:rPr>
          <w:t>1.</w:t>
        </w:r>
        <w:r w:rsidR="00072369">
          <w:rPr>
            <w:rFonts w:asciiTheme="minorHAnsi" w:eastAsiaTheme="minorEastAsia" w:hAnsiTheme="minorHAnsi" w:cstheme="minorBidi"/>
            <w:noProof/>
            <w:sz w:val="22"/>
            <w:szCs w:val="22"/>
          </w:rPr>
          <w:tab/>
        </w:r>
        <w:r w:rsidR="00072369" w:rsidRPr="009718AF">
          <w:rPr>
            <w:rStyle w:val="Hipercze"/>
            <w:rFonts w:ascii="Calibri" w:hAnsi="Calibri"/>
            <w:noProof/>
          </w:rPr>
          <w:t>Ocena oddziaływania i aktualności założeń dotychczasowych strategii</w:t>
        </w:r>
        <w:r w:rsidR="00072369">
          <w:rPr>
            <w:noProof/>
            <w:webHidden/>
          </w:rPr>
          <w:tab/>
        </w:r>
        <w:r w:rsidR="00072369">
          <w:rPr>
            <w:noProof/>
            <w:webHidden/>
          </w:rPr>
          <w:fldChar w:fldCharType="begin"/>
        </w:r>
        <w:r w:rsidR="00072369">
          <w:rPr>
            <w:noProof/>
            <w:webHidden/>
          </w:rPr>
          <w:instrText xml:space="preserve"> PAGEREF _Toc316395252 \h </w:instrText>
        </w:r>
        <w:r w:rsidR="00072369">
          <w:rPr>
            <w:noProof/>
            <w:webHidden/>
          </w:rPr>
        </w:r>
        <w:r w:rsidR="00072369">
          <w:rPr>
            <w:noProof/>
            <w:webHidden/>
          </w:rPr>
          <w:fldChar w:fldCharType="separate"/>
        </w:r>
        <w:r w:rsidR="00072369">
          <w:rPr>
            <w:noProof/>
            <w:webHidden/>
          </w:rPr>
          <w:t>3</w:t>
        </w:r>
        <w:r w:rsidR="00072369">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53" w:history="1">
        <w:r w:rsidRPr="009718AF">
          <w:rPr>
            <w:rStyle w:val="Hipercze"/>
            <w:rFonts w:ascii="Calibri" w:hAnsi="Calibri"/>
            <w:noProof/>
          </w:rPr>
          <w:t>2.</w:t>
        </w:r>
        <w:r>
          <w:rPr>
            <w:rFonts w:asciiTheme="minorHAnsi" w:eastAsiaTheme="minorEastAsia" w:hAnsiTheme="minorHAnsi" w:cstheme="minorBidi"/>
            <w:noProof/>
            <w:sz w:val="22"/>
            <w:szCs w:val="22"/>
          </w:rPr>
          <w:tab/>
        </w:r>
        <w:r w:rsidRPr="009718AF">
          <w:rPr>
            <w:rStyle w:val="Hipercze"/>
            <w:rFonts w:ascii="Calibri" w:hAnsi="Calibri"/>
            <w:noProof/>
          </w:rPr>
          <w:t>Analiza procesów demograficznych i ich wpływu na prognozowany rozwój społeczno-gospodarczy miasta i regionu</w:t>
        </w:r>
        <w:r>
          <w:rPr>
            <w:noProof/>
            <w:webHidden/>
          </w:rPr>
          <w:tab/>
        </w:r>
        <w:r>
          <w:rPr>
            <w:noProof/>
            <w:webHidden/>
          </w:rPr>
          <w:fldChar w:fldCharType="begin"/>
        </w:r>
        <w:r>
          <w:rPr>
            <w:noProof/>
            <w:webHidden/>
          </w:rPr>
          <w:instrText xml:space="preserve"> PAGEREF _Toc316395253 \h </w:instrText>
        </w:r>
        <w:r>
          <w:rPr>
            <w:noProof/>
            <w:webHidden/>
          </w:rPr>
        </w:r>
        <w:r>
          <w:rPr>
            <w:noProof/>
            <w:webHidden/>
          </w:rPr>
          <w:fldChar w:fldCharType="separate"/>
        </w:r>
        <w:r>
          <w:rPr>
            <w:noProof/>
            <w:webHidden/>
          </w:rPr>
          <w:t>3</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54" w:history="1">
        <w:r w:rsidRPr="009718AF">
          <w:rPr>
            <w:rStyle w:val="Hipercze"/>
            <w:rFonts w:ascii="Calibri" w:hAnsi="Calibri"/>
            <w:noProof/>
          </w:rPr>
          <w:t>3.</w:t>
        </w:r>
        <w:r>
          <w:rPr>
            <w:rFonts w:asciiTheme="minorHAnsi" w:eastAsiaTheme="minorEastAsia" w:hAnsiTheme="minorHAnsi" w:cstheme="minorBidi"/>
            <w:noProof/>
            <w:sz w:val="22"/>
            <w:szCs w:val="22"/>
          </w:rPr>
          <w:tab/>
        </w:r>
        <w:r w:rsidRPr="009718AF">
          <w:rPr>
            <w:rStyle w:val="Hipercze"/>
            <w:rFonts w:ascii="Calibri" w:hAnsi="Calibri"/>
            <w:noProof/>
          </w:rPr>
          <w:t>Analiza struktury zatrudnienia i rynku pracy w mieście i regionie</w:t>
        </w:r>
        <w:r>
          <w:rPr>
            <w:noProof/>
            <w:webHidden/>
          </w:rPr>
          <w:tab/>
        </w:r>
        <w:r>
          <w:rPr>
            <w:noProof/>
            <w:webHidden/>
          </w:rPr>
          <w:fldChar w:fldCharType="begin"/>
        </w:r>
        <w:r>
          <w:rPr>
            <w:noProof/>
            <w:webHidden/>
          </w:rPr>
          <w:instrText xml:space="preserve"> PAGEREF _Toc316395254 \h </w:instrText>
        </w:r>
        <w:r>
          <w:rPr>
            <w:noProof/>
            <w:webHidden/>
          </w:rPr>
        </w:r>
        <w:r>
          <w:rPr>
            <w:noProof/>
            <w:webHidden/>
          </w:rPr>
          <w:fldChar w:fldCharType="separate"/>
        </w:r>
        <w:r>
          <w:rPr>
            <w:noProof/>
            <w:webHidden/>
          </w:rPr>
          <w:t>6</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55" w:history="1">
        <w:r w:rsidRPr="009718AF">
          <w:rPr>
            <w:rStyle w:val="Hipercze"/>
            <w:rFonts w:ascii="Calibri" w:hAnsi="Calibri"/>
            <w:noProof/>
          </w:rPr>
          <w:t>4.</w:t>
        </w:r>
        <w:r>
          <w:rPr>
            <w:rFonts w:asciiTheme="minorHAnsi" w:eastAsiaTheme="minorEastAsia" w:hAnsiTheme="minorHAnsi" w:cstheme="minorBidi"/>
            <w:noProof/>
            <w:sz w:val="22"/>
            <w:szCs w:val="22"/>
          </w:rPr>
          <w:tab/>
        </w:r>
        <w:r w:rsidRPr="009718AF">
          <w:rPr>
            <w:rStyle w:val="Hipercze"/>
            <w:rFonts w:ascii="Calibri" w:hAnsi="Calibri"/>
            <w:noProof/>
          </w:rPr>
          <w:t>Ogólna charakterystyka gminy</w:t>
        </w:r>
        <w:r>
          <w:rPr>
            <w:noProof/>
            <w:webHidden/>
          </w:rPr>
          <w:tab/>
        </w:r>
        <w:r>
          <w:rPr>
            <w:noProof/>
            <w:webHidden/>
          </w:rPr>
          <w:fldChar w:fldCharType="begin"/>
        </w:r>
        <w:r>
          <w:rPr>
            <w:noProof/>
            <w:webHidden/>
          </w:rPr>
          <w:instrText xml:space="preserve"> PAGEREF _Toc316395255 \h </w:instrText>
        </w:r>
        <w:r>
          <w:rPr>
            <w:noProof/>
            <w:webHidden/>
          </w:rPr>
        </w:r>
        <w:r>
          <w:rPr>
            <w:noProof/>
            <w:webHidden/>
          </w:rPr>
          <w:fldChar w:fldCharType="separate"/>
        </w:r>
        <w:r>
          <w:rPr>
            <w:noProof/>
            <w:webHidden/>
          </w:rPr>
          <w:t>11</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56" w:history="1">
        <w:r w:rsidRPr="009718AF">
          <w:rPr>
            <w:rStyle w:val="Hipercze"/>
            <w:rFonts w:ascii="Calibri" w:hAnsi="Calibri"/>
            <w:noProof/>
          </w:rPr>
          <w:t>4.1.</w:t>
        </w:r>
        <w:r>
          <w:rPr>
            <w:rFonts w:asciiTheme="minorHAnsi" w:eastAsiaTheme="minorEastAsia" w:hAnsiTheme="minorHAnsi" w:cstheme="minorBidi"/>
            <w:noProof/>
            <w:sz w:val="22"/>
            <w:szCs w:val="22"/>
          </w:rPr>
          <w:tab/>
        </w:r>
        <w:r w:rsidRPr="009718AF">
          <w:rPr>
            <w:rStyle w:val="Hipercze"/>
            <w:rFonts w:ascii="Calibri" w:hAnsi="Calibri"/>
            <w:noProof/>
          </w:rPr>
          <w:t>Oświata i informatyzacja</w:t>
        </w:r>
        <w:r>
          <w:rPr>
            <w:noProof/>
            <w:webHidden/>
          </w:rPr>
          <w:tab/>
        </w:r>
        <w:r>
          <w:rPr>
            <w:noProof/>
            <w:webHidden/>
          </w:rPr>
          <w:fldChar w:fldCharType="begin"/>
        </w:r>
        <w:r>
          <w:rPr>
            <w:noProof/>
            <w:webHidden/>
          </w:rPr>
          <w:instrText xml:space="preserve"> PAGEREF _Toc316395256 \h </w:instrText>
        </w:r>
        <w:r>
          <w:rPr>
            <w:noProof/>
            <w:webHidden/>
          </w:rPr>
        </w:r>
        <w:r>
          <w:rPr>
            <w:noProof/>
            <w:webHidden/>
          </w:rPr>
          <w:fldChar w:fldCharType="separate"/>
        </w:r>
        <w:r>
          <w:rPr>
            <w:noProof/>
            <w:webHidden/>
          </w:rPr>
          <w:t>11</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57" w:history="1">
        <w:r w:rsidRPr="009718AF">
          <w:rPr>
            <w:rStyle w:val="Hipercze"/>
            <w:rFonts w:ascii="Calibri" w:hAnsi="Calibri"/>
            <w:noProof/>
          </w:rPr>
          <w:t>4.2.</w:t>
        </w:r>
        <w:r>
          <w:rPr>
            <w:rFonts w:asciiTheme="minorHAnsi" w:eastAsiaTheme="minorEastAsia" w:hAnsiTheme="minorHAnsi" w:cstheme="minorBidi"/>
            <w:noProof/>
            <w:sz w:val="22"/>
            <w:szCs w:val="22"/>
          </w:rPr>
          <w:tab/>
        </w:r>
        <w:r w:rsidRPr="009718AF">
          <w:rPr>
            <w:rStyle w:val="Hipercze"/>
            <w:rFonts w:ascii="Calibri" w:hAnsi="Calibri"/>
            <w:noProof/>
          </w:rPr>
          <w:t>Infrastruktura techniczna</w:t>
        </w:r>
        <w:r>
          <w:rPr>
            <w:noProof/>
            <w:webHidden/>
          </w:rPr>
          <w:tab/>
        </w:r>
        <w:r>
          <w:rPr>
            <w:noProof/>
            <w:webHidden/>
          </w:rPr>
          <w:fldChar w:fldCharType="begin"/>
        </w:r>
        <w:r>
          <w:rPr>
            <w:noProof/>
            <w:webHidden/>
          </w:rPr>
          <w:instrText xml:space="preserve"> PAGEREF _Toc316395257 \h </w:instrText>
        </w:r>
        <w:r>
          <w:rPr>
            <w:noProof/>
            <w:webHidden/>
          </w:rPr>
        </w:r>
        <w:r>
          <w:rPr>
            <w:noProof/>
            <w:webHidden/>
          </w:rPr>
          <w:fldChar w:fldCharType="separate"/>
        </w:r>
        <w:r>
          <w:rPr>
            <w:noProof/>
            <w:webHidden/>
          </w:rPr>
          <w:t>24</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58" w:history="1">
        <w:r w:rsidRPr="009718AF">
          <w:rPr>
            <w:rStyle w:val="Hipercze"/>
            <w:rFonts w:ascii="Calibri" w:hAnsi="Calibri"/>
            <w:noProof/>
          </w:rPr>
          <w:t>4.3.</w:t>
        </w:r>
        <w:r>
          <w:rPr>
            <w:rFonts w:asciiTheme="minorHAnsi" w:eastAsiaTheme="minorEastAsia" w:hAnsiTheme="minorHAnsi" w:cstheme="minorBidi"/>
            <w:noProof/>
            <w:sz w:val="22"/>
            <w:szCs w:val="22"/>
          </w:rPr>
          <w:tab/>
        </w:r>
        <w:r w:rsidRPr="009718AF">
          <w:rPr>
            <w:rStyle w:val="Hipercze"/>
            <w:rFonts w:ascii="Calibri" w:hAnsi="Calibri"/>
            <w:noProof/>
          </w:rPr>
          <w:t>System komunikacji, transportu</w:t>
        </w:r>
        <w:r>
          <w:rPr>
            <w:noProof/>
            <w:webHidden/>
          </w:rPr>
          <w:tab/>
        </w:r>
        <w:r>
          <w:rPr>
            <w:noProof/>
            <w:webHidden/>
          </w:rPr>
          <w:fldChar w:fldCharType="begin"/>
        </w:r>
        <w:r>
          <w:rPr>
            <w:noProof/>
            <w:webHidden/>
          </w:rPr>
          <w:instrText xml:space="preserve"> PAGEREF _Toc316395258 \h </w:instrText>
        </w:r>
        <w:r>
          <w:rPr>
            <w:noProof/>
            <w:webHidden/>
          </w:rPr>
        </w:r>
        <w:r>
          <w:rPr>
            <w:noProof/>
            <w:webHidden/>
          </w:rPr>
          <w:fldChar w:fldCharType="separate"/>
        </w:r>
        <w:r>
          <w:rPr>
            <w:noProof/>
            <w:webHidden/>
          </w:rPr>
          <w:t>27</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59" w:history="1">
        <w:r w:rsidRPr="009718AF">
          <w:rPr>
            <w:rStyle w:val="Hipercze"/>
            <w:rFonts w:ascii="Calibri" w:hAnsi="Calibri"/>
            <w:noProof/>
          </w:rPr>
          <w:t>4.4.</w:t>
        </w:r>
        <w:r>
          <w:rPr>
            <w:rFonts w:asciiTheme="minorHAnsi" w:eastAsiaTheme="minorEastAsia" w:hAnsiTheme="minorHAnsi" w:cstheme="minorBidi"/>
            <w:noProof/>
            <w:sz w:val="22"/>
            <w:szCs w:val="22"/>
          </w:rPr>
          <w:tab/>
        </w:r>
        <w:r w:rsidRPr="009718AF">
          <w:rPr>
            <w:rStyle w:val="Hipercze"/>
            <w:rFonts w:ascii="Calibri" w:hAnsi="Calibri"/>
            <w:noProof/>
          </w:rPr>
          <w:t>Obszary chronione, środowisko przyrodnicze</w:t>
        </w:r>
        <w:r>
          <w:rPr>
            <w:noProof/>
            <w:webHidden/>
          </w:rPr>
          <w:tab/>
        </w:r>
        <w:r>
          <w:rPr>
            <w:noProof/>
            <w:webHidden/>
          </w:rPr>
          <w:fldChar w:fldCharType="begin"/>
        </w:r>
        <w:r>
          <w:rPr>
            <w:noProof/>
            <w:webHidden/>
          </w:rPr>
          <w:instrText xml:space="preserve"> PAGEREF _Toc316395259 \h </w:instrText>
        </w:r>
        <w:r>
          <w:rPr>
            <w:noProof/>
            <w:webHidden/>
          </w:rPr>
        </w:r>
        <w:r>
          <w:rPr>
            <w:noProof/>
            <w:webHidden/>
          </w:rPr>
          <w:fldChar w:fldCharType="separate"/>
        </w:r>
        <w:r>
          <w:rPr>
            <w:noProof/>
            <w:webHidden/>
          </w:rPr>
          <w:t>34</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60" w:history="1">
        <w:r w:rsidRPr="009718AF">
          <w:rPr>
            <w:rStyle w:val="Hipercze"/>
            <w:rFonts w:ascii="Calibri" w:hAnsi="Calibri"/>
            <w:noProof/>
          </w:rPr>
          <w:t>4.5.</w:t>
        </w:r>
        <w:r>
          <w:rPr>
            <w:rFonts w:asciiTheme="minorHAnsi" w:eastAsiaTheme="minorEastAsia" w:hAnsiTheme="minorHAnsi" w:cstheme="minorBidi"/>
            <w:noProof/>
            <w:sz w:val="22"/>
            <w:szCs w:val="22"/>
          </w:rPr>
          <w:tab/>
        </w:r>
        <w:r w:rsidRPr="009718AF">
          <w:rPr>
            <w:rStyle w:val="Hipercze"/>
            <w:rFonts w:ascii="Calibri" w:hAnsi="Calibri"/>
            <w:noProof/>
          </w:rPr>
          <w:t>Analiza finansowa miasta</w:t>
        </w:r>
        <w:r>
          <w:rPr>
            <w:noProof/>
            <w:webHidden/>
          </w:rPr>
          <w:tab/>
        </w:r>
        <w:r>
          <w:rPr>
            <w:noProof/>
            <w:webHidden/>
          </w:rPr>
          <w:fldChar w:fldCharType="begin"/>
        </w:r>
        <w:r>
          <w:rPr>
            <w:noProof/>
            <w:webHidden/>
          </w:rPr>
          <w:instrText xml:space="preserve"> PAGEREF _Toc316395260 \h </w:instrText>
        </w:r>
        <w:r>
          <w:rPr>
            <w:noProof/>
            <w:webHidden/>
          </w:rPr>
        </w:r>
        <w:r>
          <w:rPr>
            <w:noProof/>
            <w:webHidden/>
          </w:rPr>
          <w:fldChar w:fldCharType="separate"/>
        </w:r>
        <w:r>
          <w:rPr>
            <w:noProof/>
            <w:webHidden/>
          </w:rPr>
          <w:t>39</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61" w:history="1">
        <w:r w:rsidRPr="009718AF">
          <w:rPr>
            <w:rStyle w:val="Hipercze"/>
            <w:rFonts w:ascii="Calibri" w:hAnsi="Calibri"/>
            <w:noProof/>
          </w:rPr>
          <w:t>4.6.</w:t>
        </w:r>
        <w:r>
          <w:rPr>
            <w:rFonts w:asciiTheme="minorHAnsi" w:eastAsiaTheme="minorEastAsia" w:hAnsiTheme="minorHAnsi" w:cstheme="minorBidi"/>
            <w:noProof/>
            <w:sz w:val="22"/>
            <w:szCs w:val="22"/>
          </w:rPr>
          <w:tab/>
        </w:r>
        <w:r w:rsidRPr="009718AF">
          <w:rPr>
            <w:rStyle w:val="Hipercze"/>
            <w:rFonts w:ascii="Calibri" w:hAnsi="Calibri"/>
            <w:noProof/>
          </w:rPr>
          <w:t>Podmioty gospodarcze</w:t>
        </w:r>
        <w:r>
          <w:rPr>
            <w:noProof/>
            <w:webHidden/>
          </w:rPr>
          <w:tab/>
        </w:r>
        <w:r>
          <w:rPr>
            <w:noProof/>
            <w:webHidden/>
          </w:rPr>
          <w:fldChar w:fldCharType="begin"/>
        </w:r>
        <w:r>
          <w:rPr>
            <w:noProof/>
            <w:webHidden/>
          </w:rPr>
          <w:instrText xml:space="preserve"> PAGEREF _Toc316395261 \h </w:instrText>
        </w:r>
        <w:r>
          <w:rPr>
            <w:noProof/>
            <w:webHidden/>
          </w:rPr>
        </w:r>
        <w:r>
          <w:rPr>
            <w:noProof/>
            <w:webHidden/>
          </w:rPr>
          <w:fldChar w:fldCharType="separate"/>
        </w:r>
        <w:r>
          <w:rPr>
            <w:noProof/>
            <w:webHidden/>
          </w:rPr>
          <w:t>43</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62" w:history="1">
        <w:r w:rsidRPr="009718AF">
          <w:rPr>
            <w:rStyle w:val="Hipercze"/>
            <w:rFonts w:ascii="Calibri" w:hAnsi="Calibri"/>
            <w:noProof/>
          </w:rPr>
          <w:t>4.7.</w:t>
        </w:r>
        <w:r>
          <w:rPr>
            <w:rFonts w:asciiTheme="minorHAnsi" w:eastAsiaTheme="minorEastAsia" w:hAnsiTheme="minorHAnsi" w:cstheme="minorBidi"/>
            <w:noProof/>
            <w:sz w:val="22"/>
            <w:szCs w:val="22"/>
          </w:rPr>
          <w:tab/>
        </w:r>
        <w:r w:rsidRPr="009718AF">
          <w:rPr>
            <w:rStyle w:val="Hipercze"/>
            <w:rFonts w:ascii="Calibri" w:hAnsi="Calibri"/>
            <w:noProof/>
          </w:rPr>
          <w:t>Gospodarka mieszkaniowa</w:t>
        </w:r>
        <w:r>
          <w:rPr>
            <w:noProof/>
            <w:webHidden/>
          </w:rPr>
          <w:tab/>
        </w:r>
        <w:r>
          <w:rPr>
            <w:noProof/>
            <w:webHidden/>
          </w:rPr>
          <w:fldChar w:fldCharType="begin"/>
        </w:r>
        <w:r>
          <w:rPr>
            <w:noProof/>
            <w:webHidden/>
          </w:rPr>
          <w:instrText xml:space="preserve"> PAGEREF _Toc316395262 \h </w:instrText>
        </w:r>
        <w:r>
          <w:rPr>
            <w:noProof/>
            <w:webHidden/>
          </w:rPr>
        </w:r>
        <w:r>
          <w:rPr>
            <w:noProof/>
            <w:webHidden/>
          </w:rPr>
          <w:fldChar w:fldCharType="separate"/>
        </w:r>
        <w:r>
          <w:rPr>
            <w:noProof/>
            <w:webHidden/>
          </w:rPr>
          <w:t>45</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63" w:history="1">
        <w:r w:rsidRPr="009718AF">
          <w:rPr>
            <w:rStyle w:val="Hipercze"/>
            <w:rFonts w:ascii="Calibri" w:hAnsi="Calibri"/>
            <w:noProof/>
          </w:rPr>
          <w:t>4.8.</w:t>
        </w:r>
        <w:r>
          <w:rPr>
            <w:rFonts w:asciiTheme="minorHAnsi" w:eastAsiaTheme="minorEastAsia" w:hAnsiTheme="minorHAnsi" w:cstheme="minorBidi"/>
            <w:noProof/>
            <w:sz w:val="22"/>
            <w:szCs w:val="22"/>
          </w:rPr>
          <w:tab/>
        </w:r>
        <w:r w:rsidRPr="009718AF">
          <w:rPr>
            <w:rStyle w:val="Hipercze"/>
            <w:rFonts w:ascii="Calibri" w:hAnsi="Calibri"/>
            <w:noProof/>
          </w:rPr>
          <w:t>Kultura</w:t>
        </w:r>
        <w:r>
          <w:rPr>
            <w:noProof/>
            <w:webHidden/>
          </w:rPr>
          <w:tab/>
        </w:r>
        <w:r>
          <w:rPr>
            <w:noProof/>
            <w:webHidden/>
          </w:rPr>
          <w:fldChar w:fldCharType="begin"/>
        </w:r>
        <w:r>
          <w:rPr>
            <w:noProof/>
            <w:webHidden/>
          </w:rPr>
          <w:instrText xml:space="preserve"> PAGEREF _Toc316395263 \h </w:instrText>
        </w:r>
        <w:r>
          <w:rPr>
            <w:noProof/>
            <w:webHidden/>
          </w:rPr>
        </w:r>
        <w:r>
          <w:rPr>
            <w:noProof/>
            <w:webHidden/>
          </w:rPr>
          <w:fldChar w:fldCharType="separate"/>
        </w:r>
        <w:r>
          <w:rPr>
            <w:noProof/>
            <w:webHidden/>
          </w:rPr>
          <w:t>47</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64" w:history="1">
        <w:r w:rsidRPr="009718AF">
          <w:rPr>
            <w:rStyle w:val="Hipercze"/>
            <w:rFonts w:ascii="Calibri" w:hAnsi="Calibri"/>
            <w:noProof/>
          </w:rPr>
          <w:t>4.9.</w:t>
        </w:r>
        <w:r>
          <w:rPr>
            <w:rFonts w:asciiTheme="minorHAnsi" w:eastAsiaTheme="minorEastAsia" w:hAnsiTheme="minorHAnsi" w:cstheme="minorBidi"/>
            <w:noProof/>
            <w:sz w:val="22"/>
            <w:szCs w:val="22"/>
          </w:rPr>
          <w:tab/>
        </w:r>
        <w:r w:rsidRPr="009718AF">
          <w:rPr>
            <w:rStyle w:val="Hipercze"/>
            <w:rFonts w:ascii="Calibri" w:hAnsi="Calibri"/>
            <w:noProof/>
          </w:rPr>
          <w:t>Turystyka, sport i rekreacja</w:t>
        </w:r>
        <w:r>
          <w:rPr>
            <w:noProof/>
            <w:webHidden/>
          </w:rPr>
          <w:tab/>
        </w:r>
        <w:r>
          <w:rPr>
            <w:noProof/>
            <w:webHidden/>
          </w:rPr>
          <w:fldChar w:fldCharType="begin"/>
        </w:r>
        <w:r>
          <w:rPr>
            <w:noProof/>
            <w:webHidden/>
          </w:rPr>
          <w:instrText xml:space="preserve"> PAGEREF _Toc316395264 \h </w:instrText>
        </w:r>
        <w:r>
          <w:rPr>
            <w:noProof/>
            <w:webHidden/>
          </w:rPr>
        </w:r>
        <w:r>
          <w:rPr>
            <w:noProof/>
            <w:webHidden/>
          </w:rPr>
          <w:fldChar w:fldCharType="separate"/>
        </w:r>
        <w:r>
          <w:rPr>
            <w:noProof/>
            <w:webHidden/>
          </w:rPr>
          <w:t>56</w:t>
        </w:r>
        <w:r>
          <w:rPr>
            <w:noProof/>
            <w:webHidden/>
          </w:rPr>
          <w:fldChar w:fldCharType="end"/>
        </w:r>
      </w:hyperlink>
    </w:p>
    <w:p w:rsidR="00072369" w:rsidRDefault="00072369">
      <w:pPr>
        <w:pStyle w:val="Spistreci2"/>
        <w:tabs>
          <w:tab w:val="left" w:pos="1100"/>
          <w:tab w:val="right" w:leader="dot" w:pos="9062"/>
        </w:tabs>
        <w:rPr>
          <w:rFonts w:asciiTheme="minorHAnsi" w:eastAsiaTheme="minorEastAsia" w:hAnsiTheme="minorHAnsi" w:cstheme="minorBidi"/>
          <w:noProof/>
          <w:sz w:val="22"/>
          <w:szCs w:val="22"/>
        </w:rPr>
      </w:pPr>
      <w:hyperlink w:anchor="_Toc316395265" w:history="1">
        <w:r w:rsidRPr="009718AF">
          <w:rPr>
            <w:rStyle w:val="Hipercze"/>
            <w:rFonts w:ascii="Calibri" w:hAnsi="Calibri"/>
            <w:noProof/>
          </w:rPr>
          <w:t>4.10.</w:t>
        </w:r>
        <w:r>
          <w:rPr>
            <w:rFonts w:asciiTheme="minorHAnsi" w:eastAsiaTheme="minorEastAsia" w:hAnsiTheme="minorHAnsi" w:cstheme="minorBidi"/>
            <w:noProof/>
            <w:sz w:val="22"/>
            <w:szCs w:val="22"/>
          </w:rPr>
          <w:tab/>
        </w:r>
        <w:r w:rsidRPr="009718AF">
          <w:rPr>
            <w:rStyle w:val="Hipercze"/>
            <w:rFonts w:ascii="Calibri" w:hAnsi="Calibri"/>
            <w:noProof/>
          </w:rPr>
          <w:t>Ochrona zdrowia i opieka społeczna</w:t>
        </w:r>
        <w:r>
          <w:rPr>
            <w:noProof/>
            <w:webHidden/>
          </w:rPr>
          <w:tab/>
        </w:r>
        <w:r>
          <w:rPr>
            <w:noProof/>
            <w:webHidden/>
          </w:rPr>
          <w:fldChar w:fldCharType="begin"/>
        </w:r>
        <w:r>
          <w:rPr>
            <w:noProof/>
            <w:webHidden/>
          </w:rPr>
          <w:instrText xml:space="preserve"> PAGEREF _Toc316395265 \h </w:instrText>
        </w:r>
        <w:r>
          <w:rPr>
            <w:noProof/>
            <w:webHidden/>
          </w:rPr>
        </w:r>
        <w:r>
          <w:rPr>
            <w:noProof/>
            <w:webHidden/>
          </w:rPr>
          <w:fldChar w:fldCharType="separate"/>
        </w:r>
        <w:r>
          <w:rPr>
            <w:noProof/>
            <w:webHidden/>
          </w:rPr>
          <w:t>62</w:t>
        </w:r>
        <w:r>
          <w:rPr>
            <w:noProof/>
            <w:webHidden/>
          </w:rPr>
          <w:fldChar w:fldCharType="end"/>
        </w:r>
      </w:hyperlink>
    </w:p>
    <w:p w:rsidR="00072369" w:rsidRDefault="00072369">
      <w:pPr>
        <w:pStyle w:val="Spistreci2"/>
        <w:tabs>
          <w:tab w:val="left" w:pos="1100"/>
          <w:tab w:val="right" w:leader="dot" w:pos="9062"/>
        </w:tabs>
        <w:rPr>
          <w:rFonts w:asciiTheme="minorHAnsi" w:eastAsiaTheme="minorEastAsia" w:hAnsiTheme="minorHAnsi" w:cstheme="minorBidi"/>
          <w:noProof/>
          <w:sz w:val="22"/>
          <w:szCs w:val="22"/>
        </w:rPr>
      </w:pPr>
      <w:hyperlink w:anchor="_Toc316395266" w:history="1">
        <w:r w:rsidRPr="009718AF">
          <w:rPr>
            <w:rStyle w:val="Hipercze"/>
            <w:rFonts w:ascii="Calibri" w:hAnsi="Calibri"/>
            <w:noProof/>
          </w:rPr>
          <w:t>4.11.</w:t>
        </w:r>
        <w:r>
          <w:rPr>
            <w:rFonts w:asciiTheme="minorHAnsi" w:eastAsiaTheme="minorEastAsia" w:hAnsiTheme="minorHAnsi" w:cstheme="minorBidi"/>
            <w:noProof/>
            <w:sz w:val="22"/>
            <w:szCs w:val="22"/>
          </w:rPr>
          <w:tab/>
        </w:r>
        <w:r w:rsidRPr="009718AF">
          <w:rPr>
            <w:rStyle w:val="Hipercze"/>
            <w:rFonts w:ascii="Calibri" w:hAnsi="Calibri"/>
            <w:noProof/>
          </w:rPr>
          <w:t>Instytucje otoczenia biznesu</w:t>
        </w:r>
        <w:r>
          <w:rPr>
            <w:noProof/>
            <w:webHidden/>
          </w:rPr>
          <w:tab/>
        </w:r>
        <w:r>
          <w:rPr>
            <w:noProof/>
            <w:webHidden/>
          </w:rPr>
          <w:fldChar w:fldCharType="begin"/>
        </w:r>
        <w:r>
          <w:rPr>
            <w:noProof/>
            <w:webHidden/>
          </w:rPr>
          <w:instrText xml:space="preserve"> PAGEREF _Toc316395266 \h </w:instrText>
        </w:r>
        <w:r>
          <w:rPr>
            <w:noProof/>
            <w:webHidden/>
          </w:rPr>
        </w:r>
        <w:r>
          <w:rPr>
            <w:noProof/>
            <w:webHidden/>
          </w:rPr>
          <w:fldChar w:fldCharType="separate"/>
        </w:r>
        <w:r>
          <w:rPr>
            <w:noProof/>
            <w:webHidden/>
          </w:rPr>
          <w:t>65</w:t>
        </w:r>
        <w:r>
          <w:rPr>
            <w:noProof/>
            <w:webHidden/>
          </w:rPr>
          <w:fldChar w:fldCharType="end"/>
        </w:r>
      </w:hyperlink>
    </w:p>
    <w:p w:rsidR="00072369" w:rsidRDefault="00072369">
      <w:pPr>
        <w:pStyle w:val="Spistreci2"/>
        <w:tabs>
          <w:tab w:val="left" w:pos="1100"/>
          <w:tab w:val="right" w:leader="dot" w:pos="9062"/>
        </w:tabs>
        <w:rPr>
          <w:rFonts w:asciiTheme="minorHAnsi" w:eastAsiaTheme="minorEastAsia" w:hAnsiTheme="minorHAnsi" w:cstheme="minorBidi"/>
          <w:noProof/>
          <w:sz w:val="22"/>
          <w:szCs w:val="22"/>
        </w:rPr>
      </w:pPr>
      <w:hyperlink w:anchor="_Toc316395267" w:history="1">
        <w:r w:rsidRPr="009718AF">
          <w:rPr>
            <w:rStyle w:val="Hipercze"/>
            <w:rFonts w:ascii="Calibri" w:hAnsi="Calibri"/>
            <w:noProof/>
          </w:rPr>
          <w:t>4.12.</w:t>
        </w:r>
        <w:r>
          <w:rPr>
            <w:rFonts w:asciiTheme="minorHAnsi" w:eastAsiaTheme="minorEastAsia" w:hAnsiTheme="minorHAnsi" w:cstheme="minorBidi"/>
            <w:noProof/>
            <w:sz w:val="22"/>
            <w:szCs w:val="22"/>
          </w:rPr>
          <w:tab/>
        </w:r>
        <w:r w:rsidRPr="009718AF">
          <w:rPr>
            <w:rStyle w:val="Hipercze"/>
            <w:rFonts w:ascii="Calibri" w:hAnsi="Calibri"/>
            <w:noProof/>
          </w:rPr>
          <w:t>Bezpieczeństwo publiczne</w:t>
        </w:r>
        <w:r>
          <w:rPr>
            <w:noProof/>
            <w:webHidden/>
          </w:rPr>
          <w:tab/>
        </w:r>
        <w:r>
          <w:rPr>
            <w:noProof/>
            <w:webHidden/>
          </w:rPr>
          <w:fldChar w:fldCharType="begin"/>
        </w:r>
        <w:r>
          <w:rPr>
            <w:noProof/>
            <w:webHidden/>
          </w:rPr>
          <w:instrText xml:space="preserve"> PAGEREF _Toc316395267 \h </w:instrText>
        </w:r>
        <w:r>
          <w:rPr>
            <w:noProof/>
            <w:webHidden/>
          </w:rPr>
        </w:r>
        <w:r>
          <w:rPr>
            <w:noProof/>
            <w:webHidden/>
          </w:rPr>
          <w:fldChar w:fldCharType="separate"/>
        </w:r>
        <w:r>
          <w:rPr>
            <w:noProof/>
            <w:webHidden/>
          </w:rPr>
          <w:t>67</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68" w:history="1">
        <w:r w:rsidRPr="009718AF">
          <w:rPr>
            <w:rStyle w:val="Hipercze"/>
            <w:rFonts w:ascii="Calibri" w:hAnsi="Calibri"/>
            <w:noProof/>
          </w:rPr>
          <w:t>5.</w:t>
        </w:r>
        <w:r>
          <w:rPr>
            <w:rFonts w:asciiTheme="minorHAnsi" w:eastAsiaTheme="minorEastAsia" w:hAnsiTheme="minorHAnsi" w:cstheme="minorBidi"/>
            <w:noProof/>
            <w:sz w:val="22"/>
            <w:szCs w:val="22"/>
          </w:rPr>
          <w:tab/>
        </w:r>
        <w:r w:rsidRPr="009718AF">
          <w:rPr>
            <w:rStyle w:val="Hipercze"/>
            <w:rFonts w:ascii="Calibri" w:hAnsi="Calibri"/>
            <w:noProof/>
          </w:rPr>
          <w:t>Analiza położenia miasta, analiza przestrzenna, struktury władania gruntami</w:t>
        </w:r>
        <w:r>
          <w:rPr>
            <w:noProof/>
            <w:webHidden/>
          </w:rPr>
          <w:tab/>
        </w:r>
        <w:r>
          <w:rPr>
            <w:noProof/>
            <w:webHidden/>
          </w:rPr>
          <w:fldChar w:fldCharType="begin"/>
        </w:r>
        <w:r>
          <w:rPr>
            <w:noProof/>
            <w:webHidden/>
          </w:rPr>
          <w:instrText xml:space="preserve"> PAGEREF _Toc316395268 \h </w:instrText>
        </w:r>
        <w:r>
          <w:rPr>
            <w:noProof/>
            <w:webHidden/>
          </w:rPr>
        </w:r>
        <w:r>
          <w:rPr>
            <w:noProof/>
            <w:webHidden/>
          </w:rPr>
          <w:fldChar w:fldCharType="separate"/>
        </w:r>
        <w:r>
          <w:rPr>
            <w:noProof/>
            <w:webHidden/>
          </w:rPr>
          <w:t>69</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69" w:history="1">
        <w:r w:rsidRPr="009718AF">
          <w:rPr>
            <w:rStyle w:val="Hipercze"/>
            <w:rFonts w:ascii="Calibri" w:hAnsi="Calibri"/>
            <w:noProof/>
          </w:rPr>
          <w:t>6.</w:t>
        </w:r>
        <w:r>
          <w:rPr>
            <w:rFonts w:asciiTheme="minorHAnsi" w:eastAsiaTheme="minorEastAsia" w:hAnsiTheme="minorHAnsi" w:cstheme="minorBidi"/>
            <w:noProof/>
            <w:sz w:val="22"/>
            <w:szCs w:val="22"/>
          </w:rPr>
          <w:tab/>
        </w:r>
        <w:r w:rsidRPr="009718AF">
          <w:rPr>
            <w:rStyle w:val="Hipercze"/>
            <w:rFonts w:ascii="Calibri" w:hAnsi="Calibri"/>
            <w:noProof/>
          </w:rPr>
          <w:t>Analiza dokumentów sprawozdawczych, przedstawianych Radzie Miejskiej, w tym m.in. z wykonanych prac inwestycyjnych, z wykonania budżetu</w:t>
        </w:r>
        <w:r>
          <w:rPr>
            <w:noProof/>
            <w:webHidden/>
          </w:rPr>
          <w:tab/>
        </w:r>
        <w:r>
          <w:rPr>
            <w:noProof/>
            <w:webHidden/>
          </w:rPr>
          <w:fldChar w:fldCharType="begin"/>
        </w:r>
        <w:r>
          <w:rPr>
            <w:noProof/>
            <w:webHidden/>
          </w:rPr>
          <w:instrText xml:space="preserve"> PAGEREF _Toc316395269 \h </w:instrText>
        </w:r>
        <w:r>
          <w:rPr>
            <w:noProof/>
            <w:webHidden/>
          </w:rPr>
        </w:r>
        <w:r>
          <w:rPr>
            <w:noProof/>
            <w:webHidden/>
          </w:rPr>
          <w:fldChar w:fldCharType="separate"/>
        </w:r>
        <w:r>
          <w:rPr>
            <w:noProof/>
            <w:webHidden/>
          </w:rPr>
          <w:t>72</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70" w:history="1">
        <w:r w:rsidRPr="009718AF">
          <w:rPr>
            <w:rStyle w:val="Hipercze"/>
            <w:rFonts w:ascii="Calibri" w:hAnsi="Calibri"/>
            <w:noProof/>
          </w:rPr>
          <w:t>7.</w:t>
        </w:r>
        <w:r>
          <w:rPr>
            <w:rFonts w:asciiTheme="minorHAnsi" w:eastAsiaTheme="minorEastAsia" w:hAnsiTheme="minorHAnsi" w:cstheme="minorBidi"/>
            <w:noProof/>
            <w:sz w:val="22"/>
            <w:szCs w:val="22"/>
          </w:rPr>
          <w:tab/>
        </w:r>
        <w:r w:rsidRPr="009718AF">
          <w:rPr>
            <w:rStyle w:val="Hipercze"/>
            <w:rFonts w:ascii="Calibri" w:hAnsi="Calibri"/>
            <w:noProof/>
          </w:rPr>
          <w:t>Ana</w:t>
        </w:r>
        <w:r w:rsidRPr="009718AF">
          <w:rPr>
            <w:rStyle w:val="Hipercze"/>
            <w:rFonts w:ascii="Calibri" w:hAnsi="Calibri"/>
            <w:noProof/>
          </w:rPr>
          <w:t>l</w:t>
        </w:r>
        <w:r w:rsidRPr="009718AF">
          <w:rPr>
            <w:rStyle w:val="Hipercze"/>
            <w:rFonts w:ascii="Calibri" w:hAnsi="Calibri"/>
            <w:noProof/>
          </w:rPr>
          <w:t>iza dokum</w:t>
        </w:r>
        <w:r w:rsidRPr="009718AF">
          <w:rPr>
            <w:rStyle w:val="Hipercze"/>
            <w:rFonts w:ascii="Calibri" w:hAnsi="Calibri"/>
            <w:noProof/>
          </w:rPr>
          <w:t>e</w:t>
        </w:r>
        <w:r w:rsidRPr="009718AF">
          <w:rPr>
            <w:rStyle w:val="Hipercze"/>
            <w:rFonts w:ascii="Calibri" w:hAnsi="Calibri"/>
            <w:noProof/>
          </w:rPr>
          <w:t>ntów strategicznych</w:t>
        </w:r>
        <w:r>
          <w:rPr>
            <w:noProof/>
            <w:webHidden/>
          </w:rPr>
          <w:tab/>
        </w:r>
        <w:r>
          <w:rPr>
            <w:noProof/>
            <w:webHidden/>
          </w:rPr>
          <w:fldChar w:fldCharType="begin"/>
        </w:r>
        <w:r>
          <w:rPr>
            <w:noProof/>
            <w:webHidden/>
          </w:rPr>
          <w:instrText xml:space="preserve"> PAGEREF _Toc316395270 \h </w:instrText>
        </w:r>
        <w:r>
          <w:rPr>
            <w:noProof/>
            <w:webHidden/>
          </w:rPr>
        </w:r>
        <w:r>
          <w:rPr>
            <w:noProof/>
            <w:webHidden/>
          </w:rPr>
          <w:fldChar w:fldCharType="separate"/>
        </w:r>
        <w:r>
          <w:rPr>
            <w:noProof/>
            <w:webHidden/>
          </w:rPr>
          <w:t>73</w:t>
        </w:r>
        <w:r>
          <w:rPr>
            <w:noProof/>
            <w:webHidden/>
          </w:rPr>
          <w:fldChar w:fldCharType="end"/>
        </w:r>
      </w:hyperlink>
    </w:p>
    <w:p w:rsidR="00072369" w:rsidRDefault="00072369">
      <w:pPr>
        <w:pStyle w:val="Spistreci2"/>
        <w:tabs>
          <w:tab w:val="left" w:pos="660"/>
          <w:tab w:val="right" w:leader="dot" w:pos="9062"/>
        </w:tabs>
        <w:rPr>
          <w:rFonts w:asciiTheme="minorHAnsi" w:eastAsiaTheme="minorEastAsia" w:hAnsiTheme="minorHAnsi" w:cstheme="minorBidi"/>
          <w:noProof/>
          <w:sz w:val="22"/>
          <w:szCs w:val="22"/>
        </w:rPr>
      </w:pPr>
      <w:hyperlink w:anchor="_Toc316395271" w:history="1">
        <w:r w:rsidRPr="009718AF">
          <w:rPr>
            <w:rStyle w:val="Hipercze"/>
            <w:noProof/>
          </w:rPr>
          <w:t>a)</w:t>
        </w:r>
        <w:r>
          <w:rPr>
            <w:rFonts w:asciiTheme="minorHAnsi" w:eastAsiaTheme="minorEastAsia" w:hAnsiTheme="minorHAnsi" w:cstheme="minorBidi"/>
            <w:noProof/>
            <w:sz w:val="22"/>
            <w:szCs w:val="22"/>
          </w:rPr>
          <w:tab/>
        </w:r>
        <w:r w:rsidRPr="009718AF">
          <w:rPr>
            <w:rStyle w:val="Hipercze"/>
            <w:noProof/>
          </w:rPr>
          <w:t>lokalnych dokumentów strategicznych</w:t>
        </w:r>
        <w:r>
          <w:rPr>
            <w:noProof/>
            <w:webHidden/>
          </w:rPr>
          <w:tab/>
        </w:r>
        <w:r>
          <w:rPr>
            <w:noProof/>
            <w:webHidden/>
          </w:rPr>
          <w:fldChar w:fldCharType="begin"/>
        </w:r>
        <w:r>
          <w:rPr>
            <w:noProof/>
            <w:webHidden/>
          </w:rPr>
          <w:instrText xml:space="preserve"> PAGEREF _Toc316395271 \h </w:instrText>
        </w:r>
        <w:r>
          <w:rPr>
            <w:noProof/>
            <w:webHidden/>
          </w:rPr>
        </w:r>
        <w:r>
          <w:rPr>
            <w:noProof/>
            <w:webHidden/>
          </w:rPr>
          <w:fldChar w:fldCharType="separate"/>
        </w:r>
        <w:r>
          <w:rPr>
            <w:noProof/>
            <w:webHidden/>
          </w:rPr>
          <w:t>73</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72" w:history="1">
        <w:r w:rsidRPr="009718AF">
          <w:rPr>
            <w:rStyle w:val="Hipercze"/>
            <w:noProof/>
          </w:rPr>
          <w:t>b)</w:t>
        </w:r>
        <w:r>
          <w:rPr>
            <w:rFonts w:asciiTheme="minorHAnsi" w:eastAsiaTheme="minorEastAsia" w:hAnsiTheme="minorHAnsi" w:cstheme="minorBidi"/>
            <w:noProof/>
            <w:sz w:val="22"/>
            <w:szCs w:val="22"/>
          </w:rPr>
          <w:tab/>
        </w:r>
        <w:r w:rsidRPr="009718AF">
          <w:rPr>
            <w:rStyle w:val="Hipercze"/>
            <w:noProof/>
          </w:rPr>
          <w:t>regionalnych i krajowych dokumentów strategicznych</w:t>
        </w:r>
        <w:r>
          <w:rPr>
            <w:noProof/>
            <w:webHidden/>
          </w:rPr>
          <w:tab/>
        </w:r>
        <w:r>
          <w:rPr>
            <w:noProof/>
            <w:webHidden/>
          </w:rPr>
          <w:fldChar w:fldCharType="begin"/>
        </w:r>
        <w:r>
          <w:rPr>
            <w:noProof/>
            <w:webHidden/>
          </w:rPr>
          <w:instrText xml:space="preserve"> PAGEREF _Toc316395272 \h </w:instrText>
        </w:r>
        <w:r>
          <w:rPr>
            <w:noProof/>
            <w:webHidden/>
          </w:rPr>
        </w:r>
        <w:r>
          <w:rPr>
            <w:noProof/>
            <w:webHidden/>
          </w:rPr>
          <w:fldChar w:fldCharType="separate"/>
        </w:r>
        <w:r>
          <w:rPr>
            <w:noProof/>
            <w:webHidden/>
          </w:rPr>
          <w:t>76</w:t>
        </w:r>
        <w:r>
          <w:rPr>
            <w:noProof/>
            <w:webHidden/>
          </w:rPr>
          <w:fldChar w:fldCharType="end"/>
        </w:r>
      </w:hyperlink>
    </w:p>
    <w:p w:rsidR="00072369" w:rsidRDefault="00072369">
      <w:pPr>
        <w:pStyle w:val="Spistreci2"/>
        <w:tabs>
          <w:tab w:val="left" w:pos="660"/>
          <w:tab w:val="right" w:leader="dot" w:pos="9062"/>
        </w:tabs>
        <w:rPr>
          <w:rFonts w:asciiTheme="minorHAnsi" w:eastAsiaTheme="minorEastAsia" w:hAnsiTheme="minorHAnsi" w:cstheme="minorBidi"/>
          <w:noProof/>
          <w:sz w:val="22"/>
          <w:szCs w:val="22"/>
        </w:rPr>
      </w:pPr>
      <w:hyperlink w:anchor="_Toc316395273" w:history="1">
        <w:r w:rsidRPr="009718AF">
          <w:rPr>
            <w:rStyle w:val="Hipercze"/>
            <w:noProof/>
          </w:rPr>
          <w:t>c)</w:t>
        </w:r>
        <w:r>
          <w:rPr>
            <w:rFonts w:asciiTheme="minorHAnsi" w:eastAsiaTheme="minorEastAsia" w:hAnsiTheme="minorHAnsi" w:cstheme="minorBidi"/>
            <w:noProof/>
            <w:sz w:val="22"/>
            <w:szCs w:val="22"/>
          </w:rPr>
          <w:tab/>
        </w:r>
        <w:r w:rsidRPr="009718AF">
          <w:rPr>
            <w:rStyle w:val="Hipercze"/>
            <w:noProof/>
          </w:rPr>
          <w:t>dokumentów transgranicznych i ponadregionalnych</w:t>
        </w:r>
        <w:r>
          <w:rPr>
            <w:noProof/>
            <w:webHidden/>
          </w:rPr>
          <w:tab/>
        </w:r>
        <w:r>
          <w:rPr>
            <w:noProof/>
            <w:webHidden/>
          </w:rPr>
          <w:fldChar w:fldCharType="begin"/>
        </w:r>
        <w:r>
          <w:rPr>
            <w:noProof/>
            <w:webHidden/>
          </w:rPr>
          <w:instrText xml:space="preserve"> PAGEREF _Toc316395273 \h </w:instrText>
        </w:r>
        <w:r>
          <w:rPr>
            <w:noProof/>
            <w:webHidden/>
          </w:rPr>
        </w:r>
        <w:r>
          <w:rPr>
            <w:noProof/>
            <w:webHidden/>
          </w:rPr>
          <w:fldChar w:fldCharType="separate"/>
        </w:r>
        <w:r>
          <w:rPr>
            <w:noProof/>
            <w:webHidden/>
          </w:rPr>
          <w:t>81</w:t>
        </w:r>
        <w:r>
          <w:rPr>
            <w:noProof/>
            <w:webHidden/>
          </w:rPr>
          <w:fldChar w:fldCharType="end"/>
        </w:r>
      </w:hyperlink>
    </w:p>
    <w:p w:rsidR="00072369" w:rsidRDefault="00072369">
      <w:pPr>
        <w:pStyle w:val="Spistreci2"/>
        <w:tabs>
          <w:tab w:val="left" w:pos="880"/>
          <w:tab w:val="right" w:leader="dot" w:pos="9062"/>
        </w:tabs>
        <w:rPr>
          <w:rFonts w:asciiTheme="minorHAnsi" w:eastAsiaTheme="minorEastAsia" w:hAnsiTheme="minorHAnsi" w:cstheme="minorBidi"/>
          <w:noProof/>
          <w:sz w:val="22"/>
          <w:szCs w:val="22"/>
        </w:rPr>
      </w:pPr>
      <w:hyperlink w:anchor="_Toc316395274" w:history="1">
        <w:r w:rsidRPr="009718AF">
          <w:rPr>
            <w:rStyle w:val="Hipercze"/>
            <w:noProof/>
          </w:rPr>
          <w:t>d)</w:t>
        </w:r>
        <w:r>
          <w:rPr>
            <w:rFonts w:asciiTheme="minorHAnsi" w:eastAsiaTheme="minorEastAsia" w:hAnsiTheme="minorHAnsi" w:cstheme="minorBidi"/>
            <w:noProof/>
            <w:sz w:val="22"/>
            <w:szCs w:val="22"/>
          </w:rPr>
          <w:tab/>
        </w:r>
        <w:r w:rsidRPr="009718AF">
          <w:rPr>
            <w:rStyle w:val="Hipercze"/>
            <w:noProof/>
          </w:rPr>
          <w:t>strategicznych dokumentów UE</w:t>
        </w:r>
        <w:r>
          <w:rPr>
            <w:noProof/>
            <w:webHidden/>
          </w:rPr>
          <w:tab/>
        </w:r>
        <w:r>
          <w:rPr>
            <w:noProof/>
            <w:webHidden/>
          </w:rPr>
          <w:fldChar w:fldCharType="begin"/>
        </w:r>
        <w:r>
          <w:rPr>
            <w:noProof/>
            <w:webHidden/>
          </w:rPr>
          <w:instrText xml:space="preserve"> PAGEREF _Toc316395274 \h </w:instrText>
        </w:r>
        <w:r>
          <w:rPr>
            <w:noProof/>
            <w:webHidden/>
          </w:rPr>
        </w:r>
        <w:r>
          <w:rPr>
            <w:noProof/>
            <w:webHidden/>
          </w:rPr>
          <w:fldChar w:fldCharType="separate"/>
        </w:r>
        <w:r>
          <w:rPr>
            <w:noProof/>
            <w:webHidden/>
          </w:rPr>
          <w:t>83</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75" w:history="1">
        <w:r w:rsidRPr="009718AF">
          <w:rPr>
            <w:rStyle w:val="Hipercze"/>
            <w:rFonts w:ascii="Calibri" w:hAnsi="Calibri"/>
            <w:noProof/>
          </w:rPr>
          <w:t>8.</w:t>
        </w:r>
        <w:r>
          <w:rPr>
            <w:rFonts w:asciiTheme="minorHAnsi" w:eastAsiaTheme="minorEastAsia" w:hAnsiTheme="minorHAnsi" w:cstheme="minorBidi"/>
            <w:noProof/>
            <w:sz w:val="22"/>
            <w:szCs w:val="22"/>
          </w:rPr>
          <w:tab/>
        </w:r>
        <w:r w:rsidRPr="009718AF">
          <w:rPr>
            <w:rStyle w:val="Hipercze"/>
            <w:rFonts w:ascii="Calibri" w:hAnsi="Calibri"/>
            <w:noProof/>
          </w:rPr>
          <w:t>Analiza aktywności promocyjnej i marketingowej gmin</w:t>
        </w:r>
        <w:r>
          <w:rPr>
            <w:noProof/>
            <w:webHidden/>
          </w:rPr>
          <w:tab/>
        </w:r>
        <w:r>
          <w:rPr>
            <w:noProof/>
            <w:webHidden/>
          </w:rPr>
          <w:fldChar w:fldCharType="begin"/>
        </w:r>
        <w:r>
          <w:rPr>
            <w:noProof/>
            <w:webHidden/>
          </w:rPr>
          <w:instrText xml:space="preserve"> PAGEREF _Toc316395275 \h </w:instrText>
        </w:r>
        <w:r>
          <w:rPr>
            <w:noProof/>
            <w:webHidden/>
          </w:rPr>
        </w:r>
        <w:r>
          <w:rPr>
            <w:noProof/>
            <w:webHidden/>
          </w:rPr>
          <w:fldChar w:fldCharType="separate"/>
        </w:r>
        <w:r>
          <w:rPr>
            <w:noProof/>
            <w:webHidden/>
          </w:rPr>
          <w:t>85</w:t>
        </w:r>
        <w:r>
          <w:rPr>
            <w:noProof/>
            <w:webHidden/>
          </w:rPr>
          <w:fldChar w:fldCharType="end"/>
        </w:r>
      </w:hyperlink>
    </w:p>
    <w:p w:rsidR="00072369" w:rsidRDefault="00072369">
      <w:pPr>
        <w:pStyle w:val="Spistreci1"/>
        <w:tabs>
          <w:tab w:val="left" w:pos="440"/>
          <w:tab w:val="right" w:leader="dot" w:pos="9062"/>
        </w:tabs>
        <w:rPr>
          <w:rFonts w:asciiTheme="minorHAnsi" w:eastAsiaTheme="minorEastAsia" w:hAnsiTheme="minorHAnsi" w:cstheme="minorBidi"/>
          <w:noProof/>
          <w:sz w:val="22"/>
          <w:szCs w:val="22"/>
        </w:rPr>
      </w:pPr>
      <w:hyperlink w:anchor="_Toc316395276" w:history="1">
        <w:r w:rsidRPr="009718AF">
          <w:rPr>
            <w:rStyle w:val="Hipercze"/>
            <w:rFonts w:ascii="Calibri" w:hAnsi="Calibri"/>
            <w:noProof/>
          </w:rPr>
          <w:t>9.</w:t>
        </w:r>
        <w:r>
          <w:rPr>
            <w:rFonts w:asciiTheme="minorHAnsi" w:eastAsiaTheme="minorEastAsia" w:hAnsiTheme="minorHAnsi" w:cstheme="minorBidi"/>
            <w:noProof/>
            <w:sz w:val="22"/>
            <w:szCs w:val="22"/>
          </w:rPr>
          <w:tab/>
        </w:r>
        <w:r w:rsidRPr="009718AF">
          <w:rPr>
            <w:rStyle w:val="Hipercze"/>
            <w:rFonts w:ascii="Calibri" w:hAnsi="Calibri"/>
            <w:noProof/>
          </w:rPr>
          <w:t>Analiza współzależności zachodzących pomiędzy miastami i gminami Lubuskiego Trójmiasta</w:t>
        </w:r>
        <w:r>
          <w:rPr>
            <w:noProof/>
            <w:webHidden/>
          </w:rPr>
          <w:tab/>
        </w:r>
        <w:r>
          <w:rPr>
            <w:noProof/>
            <w:webHidden/>
          </w:rPr>
          <w:fldChar w:fldCharType="begin"/>
        </w:r>
        <w:r>
          <w:rPr>
            <w:noProof/>
            <w:webHidden/>
          </w:rPr>
          <w:instrText xml:space="preserve"> PAGEREF _Toc316395276 \h </w:instrText>
        </w:r>
        <w:r>
          <w:rPr>
            <w:noProof/>
            <w:webHidden/>
          </w:rPr>
        </w:r>
        <w:r>
          <w:rPr>
            <w:noProof/>
            <w:webHidden/>
          </w:rPr>
          <w:fldChar w:fldCharType="separate"/>
        </w:r>
        <w:r>
          <w:rPr>
            <w:noProof/>
            <w:webHidden/>
          </w:rPr>
          <w:t>92</w:t>
        </w:r>
        <w:r>
          <w:rPr>
            <w:noProof/>
            <w:webHidden/>
          </w:rPr>
          <w:fldChar w:fldCharType="end"/>
        </w:r>
      </w:hyperlink>
    </w:p>
    <w:p w:rsidR="00072369" w:rsidRDefault="00072369">
      <w:pPr>
        <w:pStyle w:val="Spistreci1"/>
        <w:tabs>
          <w:tab w:val="left" w:pos="660"/>
          <w:tab w:val="right" w:leader="dot" w:pos="9062"/>
        </w:tabs>
        <w:rPr>
          <w:rFonts w:asciiTheme="minorHAnsi" w:eastAsiaTheme="minorEastAsia" w:hAnsiTheme="minorHAnsi" w:cstheme="minorBidi"/>
          <w:noProof/>
          <w:sz w:val="22"/>
          <w:szCs w:val="22"/>
        </w:rPr>
      </w:pPr>
      <w:hyperlink w:anchor="_Toc316395277" w:history="1">
        <w:r w:rsidRPr="009718AF">
          <w:rPr>
            <w:rStyle w:val="Hipercze"/>
            <w:rFonts w:ascii="Calibri" w:hAnsi="Calibri"/>
            <w:noProof/>
          </w:rPr>
          <w:t>10.</w:t>
        </w:r>
        <w:r>
          <w:rPr>
            <w:rFonts w:asciiTheme="minorHAnsi" w:eastAsiaTheme="minorEastAsia" w:hAnsiTheme="minorHAnsi" w:cstheme="minorBidi"/>
            <w:noProof/>
            <w:sz w:val="22"/>
            <w:szCs w:val="22"/>
          </w:rPr>
          <w:tab/>
        </w:r>
        <w:r w:rsidRPr="009718AF">
          <w:rPr>
            <w:rStyle w:val="Hipercze"/>
            <w:rFonts w:ascii="Calibri" w:hAnsi="Calibri"/>
            <w:noProof/>
          </w:rPr>
          <w:t>Spis rysunków</w:t>
        </w:r>
        <w:r>
          <w:rPr>
            <w:noProof/>
            <w:webHidden/>
          </w:rPr>
          <w:tab/>
        </w:r>
        <w:r>
          <w:rPr>
            <w:noProof/>
            <w:webHidden/>
          </w:rPr>
          <w:fldChar w:fldCharType="begin"/>
        </w:r>
        <w:r>
          <w:rPr>
            <w:noProof/>
            <w:webHidden/>
          </w:rPr>
          <w:instrText xml:space="preserve"> PAGEREF _Toc316395277 \h </w:instrText>
        </w:r>
        <w:r>
          <w:rPr>
            <w:noProof/>
            <w:webHidden/>
          </w:rPr>
        </w:r>
        <w:r>
          <w:rPr>
            <w:noProof/>
            <w:webHidden/>
          </w:rPr>
          <w:fldChar w:fldCharType="separate"/>
        </w:r>
        <w:r>
          <w:rPr>
            <w:noProof/>
            <w:webHidden/>
          </w:rPr>
          <w:t>97</w:t>
        </w:r>
        <w:r>
          <w:rPr>
            <w:noProof/>
            <w:webHidden/>
          </w:rPr>
          <w:fldChar w:fldCharType="end"/>
        </w:r>
      </w:hyperlink>
    </w:p>
    <w:p w:rsidR="00072369" w:rsidRDefault="00072369">
      <w:pPr>
        <w:pStyle w:val="Spistreci1"/>
        <w:tabs>
          <w:tab w:val="left" w:pos="660"/>
          <w:tab w:val="right" w:leader="dot" w:pos="9062"/>
        </w:tabs>
        <w:rPr>
          <w:rFonts w:asciiTheme="minorHAnsi" w:eastAsiaTheme="minorEastAsia" w:hAnsiTheme="minorHAnsi" w:cstheme="minorBidi"/>
          <w:noProof/>
          <w:sz w:val="22"/>
          <w:szCs w:val="22"/>
        </w:rPr>
      </w:pPr>
      <w:hyperlink w:anchor="_Toc316395278" w:history="1">
        <w:r w:rsidRPr="009718AF">
          <w:rPr>
            <w:rStyle w:val="Hipercze"/>
            <w:rFonts w:ascii="Calibri" w:hAnsi="Calibri"/>
            <w:noProof/>
          </w:rPr>
          <w:t>11.</w:t>
        </w:r>
        <w:r>
          <w:rPr>
            <w:rFonts w:asciiTheme="minorHAnsi" w:eastAsiaTheme="minorEastAsia" w:hAnsiTheme="minorHAnsi" w:cstheme="minorBidi"/>
            <w:noProof/>
            <w:sz w:val="22"/>
            <w:szCs w:val="22"/>
          </w:rPr>
          <w:tab/>
        </w:r>
        <w:r w:rsidRPr="009718AF">
          <w:rPr>
            <w:rStyle w:val="Hipercze"/>
            <w:rFonts w:ascii="Calibri" w:hAnsi="Calibri"/>
            <w:noProof/>
          </w:rPr>
          <w:t>Spis wykresów</w:t>
        </w:r>
        <w:r>
          <w:rPr>
            <w:noProof/>
            <w:webHidden/>
          </w:rPr>
          <w:tab/>
        </w:r>
        <w:r>
          <w:rPr>
            <w:noProof/>
            <w:webHidden/>
          </w:rPr>
          <w:fldChar w:fldCharType="begin"/>
        </w:r>
        <w:r>
          <w:rPr>
            <w:noProof/>
            <w:webHidden/>
          </w:rPr>
          <w:instrText xml:space="preserve"> PAGEREF _Toc316395278 \h </w:instrText>
        </w:r>
        <w:r>
          <w:rPr>
            <w:noProof/>
            <w:webHidden/>
          </w:rPr>
        </w:r>
        <w:r>
          <w:rPr>
            <w:noProof/>
            <w:webHidden/>
          </w:rPr>
          <w:fldChar w:fldCharType="separate"/>
        </w:r>
        <w:r>
          <w:rPr>
            <w:noProof/>
            <w:webHidden/>
          </w:rPr>
          <w:t>97</w:t>
        </w:r>
        <w:r>
          <w:rPr>
            <w:noProof/>
            <w:webHidden/>
          </w:rPr>
          <w:fldChar w:fldCharType="end"/>
        </w:r>
      </w:hyperlink>
    </w:p>
    <w:p w:rsidR="00D664DB" w:rsidRPr="00662F03" w:rsidRDefault="005433B6" w:rsidP="004E5A9A">
      <w:pPr>
        <w:rPr>
          <w:rFonts w:ascii="Calibri" w:hAnsi="Calibri"/>
          <w:sz w:val="22"/>
        </w:rPr>
      </w:pPr>
      <w:r w:rsidRPr="00662F03">
        <w:rPr>
          <w:rFonts w:ascii="Calibri" w:hAnsi="Calibri"/>
          <w:sz w:val="20"/>
          <w:szCs w:val="22"/>
        </w:rPr>
        <w:fldChar w:fldCharType="end"/>
      </w:r>
    </w:p>
    <w:p w:rsidR="00856BD1" w:rsidRPr="00295383" w:rsidRDefault="00CC47C4" w:rsidP="00295383">
      <w:pPr>
        <w:rPr>
          <w:sz w:val="20"/>
        </w:rPr>
      </w:pPr>
      <w:r w:rsidRPr="00662F03">
        <w:br w:type="page"/>
      </w:r>
    </w:p>
    <w:p w:rsidR="004B10CE" w:rsidRPr="00662F03" w:rsidRDefault="00BA5926" w:rsidP="002A1E86">
      <w:pPr>
        <w:pStyle w:val="Nagwek1"/>
        <w:numPr>
          <w:ilvl w:val="0"/>
          <w:numId w:val="1"/>
        </w:numPr>
        <w:rPr>
          <w:rFonts w:ascii="Calibri" w:hAnsi="Calibri"/>
          <w:color w:val="17365D"/>
          <w:sz w:val="24"/>
        </w:rPr>
      </w:pPr>
      <w:bookmarkStart w:id="0" w:name="_Toc285111441"/>
      <w:bookmarkStart w:id="1" w:name="_Toc285111472"/>
      <w:bookmarkStart w:id="2" w:name="_Toc316395252"/>
      <w:bookmarkEnd w:id="0"/>
      <w:bookmarkEnd w:id="1"/>
      <w:r w:rsidRPr="00662F03">
        <w:rPr>
          <w:rFonts w:ascii="Calibri" w:hAnsi="Calibri"/>
          <w:color w:val="17365D"/>
          <w:sz w:val="24"/>
        </w:rPr>
        <w:lastRenderedPageBreak/>
        <w:t>Ocena oddziaływania i aktualności założeń dotychczasowych strategii</w:t>
      </w:r>
      <w:bookmarkEnd w:id="2"/>
    </w:p>
    <w:p w:rsidR="00BA5926" w:rsidRPr="00662F03" w:rsidRDefault="005D4BF8" w:rsidP="00CA23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Dotychczasowa strategia Nowej Soli </w:t>
      </w:r>
      <w:r w:rsidR="003342B0" w:rsidRPr="00662F03">
        <w:rPr>
          <w:rFonts w:ascii="Calibri" w:hAnsi="Calibri" w:cs="Tahoma"/>
          <w:sz w:val="22"/>
          <w:szCs w:val="22"/>
        </w:rPr>
        <w:t xml:space="preserve">– „Plan Strategiczny Rozwoju Miasta Nowa Sól” </w:t>
      </w:r>
      <w:r w:rsidR="00CA239A" w:rsidRPr="00662F03">
        <w:rPr>
          <w:rFonts w:ascii="Calibri" w:hAnsi="Calibri" w:cs="Tahoma"/>
          <w:sz w:val="22"/>
          <w:szCs w:val="22"/>
        </w:rPr>
        <w:t>przyjęta Uchwałą nr XIV/95/2003 Rady Miejskiej w Nowej Soli z dnia 28 października 2003r. została sporządzona na lata 2004-2013.</w:t>
      </w:r>
    </w:p>
    <w:p w:rsidR="003342B0" w:rsidRPr="00662F03" w:rsidRDefault="004B544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strategii określono następującą misję miasta</w:t>
      </w:r>
      <w:r w:rsidR="00CF28B5" w:rsidRPr="00662F03">
        <w:rPr>
          <w:rFonts w:ascii="Calibri" w:hAnsi="Calibri" w:cs="Tahoma"/>
          <w:sz w:val="22"/>
          <w:szCs w:val="22"/>
        </w:rPr>
        <w:t xml:space="preserve">: </w:t>
      </w:r>
      <w:r w:rsidR="003342B0" w:rsidRPr="00662F03">
        <w:rPr>
          <w:rFonts w:ascii="Calibri" w:hAnsi="Calibri" w:cs="Tahoma"/>
          <w:sz w:val="22"/>
          <w:szCs w:val="22"/>
        </w:rPr>
        <w:t xml:space="preserve">„Nowa Sól to </w:t>
      </w:r>
      <w:r w:rsidR="00CA239A" w:rsidRPr="00662F03">
        <w:rPr>
          <w:rFonts w:ascii="Calibri" w:hAnsi="Calibri" w:cs="Tahoma"/>
          <w:sz w:val="22"/>
          <w:szCs w:val="22"/>
        </w:rPr>
        <w:t xml:space="preserve">nadodrzańskie miasto usługowo-przemysłowo- </w:t>
      </w:r>
      <w:r w:rsidR="003342B0" w:rsidRPr="00662F03">
        <w:rPr>
          <w:rFonts w:ascii="Calibri" w:hAnsi="Calibri" w:cs="Tahoma"/>
          <w:sz w:val="22"/>
          <w:szCs w:val="22"/>
        </w:rPr>
        <w:t>portowe, położone na skrzyżowaniu ważnych szlaków komunikacyjnych, o dużym potencjale rozwojowym, otwarte dla inwestorów, przyjazne dla przyrody i mieszkańców”</w:t>
      </w:r>
      <w:r w:rsidR="00CA239A" w:rsidRPr="00662F03">
        <w:rPr>
          <w:rFonts w:ascii="Calibri" w:hAnsi="Calibri" w:cs="Tahoma"/>
          <w:sz w:val="22"/>
          <w:szCs w:val="22"/>
        </w:rPr>
        <w:t>.</w:t>
      </w:r>
    </w:p>
    <w:p w:rsidR="000D7A99" w:rsidRPr="00662F03" w:rsidRDefault="000D7A99" w:rsidP="00662F0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Cele określone w Planie Strategicznym obejmują następujące zakresy:</w:t>
      </w:r>
    </w:p>
    <w:p w:rsidR="000D7A99" w:rsidRPr="00662F03" w:rsidRDefault="004B5441" w:rsidP="004D5193">
      <w:pPr>
        <w:pStyle w:val="Akapitzlist"/>
        <w:numPr>
          <w:ilvl w:val="0"/>
          <w:numId w:val="19"/>
        </w:numPr>
        <w:shd w:val="clear" w:color="auto" w:fill="FFFFFF"/>
        <w:spacing w:after="0" w:line="240" w:lineRule="auto"/>
        <w:jc w:val="both"/>
        <w:outlineLvl w:val="3"/>
        <w:rPr>
          <w:rFonts w:cs="Tahoma"/>
        </w:rPr>
      </w:pPr>
      <w:r w:rsidRPr="00662F03">
        <w:rPr>
          <w:rFonts w:cs="Tahoma"/>
        </w:rPr>
        <w:t>z</w:t>
      </w:r>
      <w:r w:rsidR="000D7A99" w:rsidRPr="00662F03">
        <w:rPr>
          <w:rFonts w:cs="Tahoma"/>
        </w:rPr>
        <w:t>aspokojenie poszczególnych potrzeb mieszkańców,</w:t>
      </w:r>
    </w:p>
    <w:p w:rsidR="000D7A99" w:rsidRPr="00662F03" w:rsidRDefault="004B5441" w:rsidP="004D5193">
      <w:pPr>
        <w:pStyle w:val="Akapitzlist"/>
        <w:numPr>
          <w:ilvl w:val="0"/>
          <w:numId w:val="19"/>
        </w:numPr>
        <w:shd w:val="clear" w:color="auto" w:fill="FFFFFF"/>
        <w:spacing w:after="0" w:line="240" w:lineRule="auto"/>
        <w:jc w:val="both"/>
        <w:outlineLvl w:val="3"/>
        <w:rPr>
          <w:rFonts w:cs="Tahoma"/>
        </w:rPr>
      </w:pPr>
      <w:r w:rsidRPr="00662F03">
        <w:rPr>
          <w:rFonts w:cs="Tahoma"/>
        </w:rPr>
        <w:t>p</w:t>
      </w:r>
      <w:r w:rsidR="000D7A99" w:rsidRPr="00662F03">
        <w:rPr>
          <w:rFonts w:cs="Tahoma"/>
        </w:rPr>
        <w:t>otencjały miasta,</w:t>
      </w:r>
    </w:p>
    <w:p w:rsidR="000D7A99" w:rsidRPr="00662F03" w:rsidRDefault="004B5441" w:rsidP="004D5193">
      <w:pPr>
        <w:pStyle w:val="Akapitzlist"/>
        <w:numPr>
          <w:ilvl w:val="0"/>
          <w:numId w:val="19"/>
        </w:numPr>
        <w:shd w:val="clear" w:color="auto" w:fill="FFFFFF"/>
        <w:spacing w:after="0" w:line="240" w:lineRule="auto"/>
        <w:jc w:val="both"/>
        <w:outlineLvl w:val="3"/>
        <w:rPr>
          <w:rFonts w:cs="Tahoma"/>
        </w:rPr>
      </w:pPr>
      <w:r w:rsidRPr="00662F03">
        <w:rPr>
          <w:rFonts w:cs="Tahoma"/>
        </w:rPr>
        <w:t>w</w:t>
      </w:r>
      <w:r w:rsidR="000D7A99" w:rsidRPr="00662F03">
        <w:rPr>
          <w:rFonts w:cs="Tahoma"/>
        </w:rPr>
        <w:t>ybrane dziedziny gospodarki.</w:t>
      </w:r>
    </w:p>
    <w:p w:rsidR="000D7A99" w:rsidRPr="00662F03" w:rsidRDefault="000D7A99" w:rsidP="00662F0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Oceniając zrównoważony rozwój Miasta Nowa Sól należy zwrócić uwagę na:</w:t>
      </w:r>
    </w:p>
    <w:p w:rsidR="000D7A99" w:rsidRPr="00662F03" w:rsidRDefault="002D3929" w:rsidP="004D5193">
      <w:pPr>
        <w:pStyle w:val="Akapitzlist"/>
        <w:numPr>
          <w:ilvl w:val="0"/>
          <w:numId w:val="20"/>
        </w:numPr>
        <w:shd w:val="clear" w:color="auto" w:fill="FFFFFF"/>
        <w:spacing w:after="0" w:line="240" w:lineRule="auto"/>
        <w:ind w:left="714" w:hanging="357"/>
        <w:jc w:val="both"/>
        <w:outlineLvl w:val="3"/>
        <w:rPr>
          <w:rFonts w:cs="Tahoma"/>
        </w:rPr>
      </w:pPr>
      <w:r w:rsidRPr="00662F03">
        <w:rPr>
          <w:rFonts w:cs="Tahoma"/>
        </w:rPr>
        <w:t>w</w:t>
      </w:r>
      <w:r w:rsidR="000D7A99" w:rsidRPr="00662F03">
        <w:rPr>
          <w:rFonts w:cs="Tahoma"/>
        </w:rPr>
        <w:t>yraźnie słaby rozwój związany z ładem instytucjonalno-politycznym,</w:t>
      </w:r>
    </w:p>
    <w:p w:rsidR="000D7A99" w:rsidRPr="00662F03" w:rsidRDefault="002D3929" w:rsidP="004D5193">
      <w:pPr>
        <w:pStyle w:val="Akapitzlist"/>
        <w:numPr>
          <w:ilvl w:val="0"/>
          <w:numId w:val="20"/>
        </w:numPr>
        <w:shd w:val="clear" w:color="auto" w:fill="FFFFFF"/>
        <w:spacing w:after="0" w:line="240" w:lineRule="auto"/>
        <w:ind w:left="714" w:hanging="357"/>
        <w:jc w:val="both"/>
        <w:outlineLvl w:val="3"/>
        <w:rPr>
          <w:rFonts w:cs="Tahoma"/>
        </w:rPr>
      </w:pPr>
      <w:r w:rsidRPr="00662F03">
        <w:rPr>
          <w:rFonts w:cs="Tahoma"/>
        </w:rPr>
        <w:t>b</w:t>
      </w:r>
      <w:r w:rsidR="000D7A99" w:rsidRPr="00662F03">
        <w:rPr>
          <w:rFonts w:cs="Tahoma"/>
        </w:rPr>
        <w:t>ardzo dobre wskaźniki, znacznie ponad średnią dla porównywalnych samorządów w Polsce, mówiące o działaniach związanych z ładem środowiskowo-przestrzennym,</w:t>
      </w:r>
    </w:p>
    <w:p w:rsidR="000D7A99" w:rsidRPr="00662F03" w:rsidRDefault="002D3929" w:rsidP="004D5193">
      <w:pPr>
        <w:pStyle w:val="Akapitzlist"/>
        <w:numPr>
          <w:ilvl w:val="0"/>
          <w:numId w:val="20"/>
        </w:numPr>
        <w:shd w:val="clear" w:color="auto" w:fill="FFFFFF"/>
        <w:spacing w:after="0" w:line="240" w:lineRule="auto"/>
        <w:ind w:left="714" w:hanging="357"/>
        <w:jc w:val="both"/>
        <w:outlineLvl w:val="3"/>
        <w:rPr>
          <w:rFonts w:cs="Tahoma"/>
        </w:rPr>
      </w:pPr>
      <w:r w:rsidRPr="00662F03">
        <w:rPr>
          <w:rFonts w:cs="Tahoma"/>
        </w:rPr>
        <w:t>ł</w:t>
      </w:r>
      <w:r w:rsidR="000D7A99" w:rsidRPr="00662F03">
        <w:rPr>
          <w:rFonts w:cs="Tahoma"/>
        </w:rPr>
        <w:t>ady: gospodarczy i społeczny, są nieco poniżej średniej gmin w tej grupie.</w:t>
      </w:r>
    </w:p>
    <w:p w:rsidR="000D7A99" w:rsidRPr="00662F03" w:rsidRDefault="000D7A99" w:rsidP="000D7A99">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w:t>
      </w:r>
      <w:r w:rsidR="005A3EE4" w:rsidRPr="00662F03">
        <w:rPr>
          <w:rFonts w:ascii="Calibri" w:hAnsi="Calibri" w:cs="Tahoma"/>
          <w:sz w:val="22"/>
          <w:szCs w:val="22"/>
        </w:rPr>
        <w:t xml:space="preserve">strategii zaznaczono, że w </w:t>
      </w:r>
      <w:r w:rsidRPr="00662F03">
        <w:rPr>
          <w:rFonts w:ascii="Calibri" w:hAnsi="Calibri" w:cs="Tahoma"/>
          <w:sz w:val="22"/>
          <w:szCs w:val="22"/>
        </w:rPr>
        <w:t>dalszym rozwoju Nowej Soli należy szczególny nacisk położyć na rozwój związany z ładem instytucjonalno-politycznym, a także społecznym i gospodarczym. Ważnym działaniem jest po</w:t>
      </w:r>
      <w:r w:rsidR="006B1FB3" w:rsidRPr="00662F03">
        <w:rPr>
          <w:rFonts w:ascii="Calibri" w:hAnsi="Calibri" w:cs="Tahoma"/>
          <w:sz w:val="22"/>
          <w:szCs w:val="22"/>
        </w:rPr>
        <w:t>d</w:t>
      </w:r>
      <w:r w:rsidRPr="00662F03">
        <w:rPr>
          <w:rFonts w:ascii="Calibri" w:hAnsi="Calibri" w:cs="Tahoma"/>
          <w:sz w:val="22"/>
          <w:szCs w:val="22"/>
        </w:rPr>
        <w:t>trzymanie dotychczasowej zasady pracy zespołowej nad aktualizacją strategii, a także pogłębienie tego procesu poprzez systematyczną współpracę Prezydenta i Rady Miasta z lokalnymi liderami, przedsiębiorcami, organizacjami pozarządowymi.</w:t>
      </w:r>
    </w:p>
    <w:p w:rsidR="005D4BF8" w:rsidRPr="00662F03" w:rsidRDefault="005D4BF8" w:rsidP="004E5A9A">
      <w:pPr>
        <w:rPr>
          <w:rFonts w:ascii="Calibri" w:hAnsi="Calibri"/>
          <w:sz w:val="22"/>
        </w:rPr>
      </w:pPr>
    </w:p>
    <w:p w:rsidR="003224F8" w:rsidRPr="00662F03" w:rsidRDefault="003224F8">
      <w:pPr>
        <w:rPr>
          <w:rFonts w:ascii="Calibri" w:hAnsi="Calibri" w:cs="Tahoma"/>
          <w:sz w:val="22"/>
          <w:szCs w:val="22"/>
        </w:rPr>
      </w:pPr>
      <w:bookmarkStart w:id="3" w:name="_Toc285111442"/>
      <w:bookmarkStart w:id="4" w:name="_Toc285111473"/>
      <w:bookmarkStart w:id="5" w:name="_Toc285111443"/>
      <w:bookmarkStart w:id="6" w:name="_Toc285111474"/>
      <w:bookmarkEnd w:id="3"/>
      <w:bookmarkEnd w:id="4"/>
      <w:bookmarkEnd w:id="5"/>
      <w:bookmarkEnd w:id="6"/>
    </w:p>
    <w:p w:rsidR="004B10CE" w:rsidRPr="00662F03" w:rsidRDefault="00BA5926" w:rsidP="002A1E86">
      <w:pPr>
        <w:pStyle w:val="Nagwek1"/>
        <w:numPr>
          <w:ilvl w:val="0"/>
          <w:numId w:val="1"/>
        </w:numPr>
        <w:rPr>
          <w:rFonts w:ascii="Calibri" w:hAnsi="Calibri"/>
          <w:color w:val="17365D"/>
          <w:sz w:val="24"/>
        </w:rPr>
      </w:pPr>
      <w:bookmarkStart w:id="7" w:name="_Toc316395253"/>
      <w:r w:rsidRPr="00662F03">
        <w:rPr>
          <w:rFonts w:ascii="Calibri" w:hAnsi="Calibri"/>
          <w:color w:val="17365D"/>
          <w:sz w:val="24"/>
        </w:rPr>
        <w:t>Analiza procesów demograficznych i ich wpływu na prognozowany rozwój społeczno-gospodarczy miasta i regionu</w:t>
      </w:r>
      <w:bookmarkEnd w:id="7"/>
    </w:p>
    <w:p w:rsidR="00B429C0" w:rsidRPr="00662F03" w:rsidRDefault="00B429C0" w:rsidP="00244AB0">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koniec 2009 r. Nową Sól zamieszkiwało blisko 40 tys. osób, spośród których ponad połowę stanowiły kobiety (blisko 53%). Wskaźnik feminizacji wzrasta i wynosił w 2009 r. 112 (w 2003 r. 110). Gęstość zaludnienia wynosiła 1832 osoby na 1 km</w:t>
      </w:r>
      <w:r w:rsidRPr="00662F03">
        <w:rPr>
          <w:rFonts w:ascii="Calibri" w:hAnsi="Calibri" w:cs="Tahoma"/>
          <w:sz w:val="22"/>
          <w:szCs w:val="22"/>
          <w:vertAlign w:val="superscript"/>
        </w:rPr>
        <w:t>2</w:t>
      </w:r>
      <w:r w:rsidRPr="00662F03">
        <w:rPr>
          <w:rFonts w:ascii="Calibri" w:hAnsi="Calibri" w:cs="Tahoma"/>
          <w:sz w:val="22"/>
          <w:szCs w:val="22"/>
        </w:rPr>
        <w:t>.</w:t>
      </w:r>
    </w:p>
    <w:p w:rsidR="00B429C0" w:rsidRPr="00662F03" w:rsidRDefault="00B429C0" w:rsidP="00244AB0">
      <w:pPr>
        <w:shd w:val="clear" w:color="auto" w:fill="FFFFFF"/>
        <w:spacing w:after="75"/>
        <w:jc w:val="both"/>
        <w:outlineLvl w:val="3"/>
        <w:rPr>
          <w:rFonts w:ascii="Calibri" w:hAnsi="Calibri" w:cs="Tahoma"/>
          <w:sz w:val="20"/>
          <w:szCs w:val="22"/>
        </w:rPr>
      </w:pPr>
      <w:bookmarkStart w:id="8" w:name="_Toc315790470"/>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1</w:t>
      </w:r>
      <w:r w:rsidR="005433B6" w:rsidRPr="00662F03">
        <w:rPr>
          <w:rFonts w:ascii="Calibri" w:hAnsi="Calibri" w:cs="Tahoma"/>
          <w:sz w:val="20"/>
          <w:szCs w:val="22"/>
        </w:rPr>
        <w:fldChar w:fldCharType="end"/>
      </w:r>
      <w:r w:rsidRPr="00662F03">
        <w:rPr>
          <w:rFonts w:ascii="Calibri" w:hAnsi="Calibri" w:cs="Tahoma"/>
          <w:sz w:val="20"/>
          <w:szCs w:val="22"/>
        </w:rPr>
        <w:t>.</w:t>
      </w:r>
      <w:r w:rsidR="00AD4624" w:rsidRPr="00AD4624">
        <w:rPr>
          <w:sz w:val="22"/>
        </w:rPr>
        <w:t xml:space="preserve"> </w:t>
      </w:r>
      <w:r w:rsidR="00AD4624" w:rsidRPr="00AD4624">
        <w:rPr>
          <w:rFonts w:ascii="Calibri" w:hAnsi="Calibri" w:cs="Tahoma"/>
          <w:sz w:val="20"/>
          <w:szCs w:val="22"/>
        </w:rPr>
        <w:t>Liczba ludności miasta Nowa Sól w latach 1995-2009</w:t>
      </w:r>
      <w:r w:rsidR="00AD4624">
        <w:rPr>
          <w:rFonts w:ascii="Calibri" w:hAnsi="Calibri" w:cs="Tahoma"/>
          <w:sz w:val="20"/>
          <w:szCs w:val="22"/>
        </w:rPr>
        <w:t>.</w:t>
      </w:r>
      <w:bookmarkEnd w:id="8"/>
    </w:p>
    <w:p w:rsidR="00B429C0" w:rsidRPr="00662F03" w:rsidRDefault="005B1628" w:rsidP="00B429C0">
      <w:pPr>
        <w:jc w:val="center"/>
        <w:rPr>
          <w:rFonts w:ascii="Calibri" w:hAnsi="Calibri"/>
          <w:sz w:val="22"/>
        </w:rPr>
      </w:pPr>
      <w:r>
        <w:rPr>
          <w:noProof/>
        </w:rPr>
        <w:drawing>
          <wp:inline distT="0" distB="0" distL="0" distR="0">
            <wp:extent cx="4956987" cy="2753832"/>
            <wp:effectExtent l="19050" t="0" r="15063" b="8418"/>
            <wp:docPr id="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7482" w:rsidRPr="00662F03" w:rsidRDefault="00B429C0" w:rsidP="00B429C0">
      <w:pPr>
        <w:jc w:val="both"/>
        <w:rPr>
          <w:rFonts w:ascii="Calibri" w:hAnsi="Calibri"/>
          <w:sz w:val="20"/>
        </w:rPr>
      </w:pPr>
      <w:r w:rsidRPr="00662F03">
        <w:rPr>
          <w:rFonts w:ascii="Calibri" w:hAnsi="Calibri"/>
          <w:sz w:val="20"/>
        </w:rPr>
        <w:t>Źródło: opracowanie własne na podstawie danych GU</w:t>
      </w:r>
      <w:r w:rsidR="00AF7482" w:rsidRPr="00662F03">
        <w:rPr>
          <w:rFonts w:ascii="Calibri" w:hAnsi="Calibri"/>
          <w:sz w:val="20"/>
        </w:rPr>
        <w:t>S</w:t>
      </w:r>
      <w:r w:rsidR="00E0099E">
        <w:rPr>
          <w:rFonts w:ascii="Calibri" w:hAnsi="Calibri"/>
          <w:sz w:val="20"/>
        </w:rPr>
        <w:t>, Bank Danych Lokalnych</w:t>
      </w:r>
      <w:r w:rsidR="00AF7482" w:rsidRPr="00662F03">
        <w:rPr>
          <w:rFonts w:ascii="Calibri" w:hAnsi="Calibri"/>
          <w:sz w:val="20"/>
        </w:rPr>
        <w:t>.</w:t>
      </w:r>
    </w:p>
    <w:p w:rsidR="00244AB0" w:rsidRPr="00662F03" w:rsidRDefault="00295383" w:rsidP="00244AB0">
      <w:pPr>
        <w:pStyle w:val="Legenda"/>
        <w:rPr>
          <w:rFonts w:ascii="Calibri" w:hAnsi="Calibri"/>
          <w:b w:val="0"/>
          <w:sz w:val="22"/>
        </w:rPr>
      </w:pPr>
      <w:r>
        <w:rPr>
          <w:rFonts w:ascii="Calibri" w:hAnsi="Calibri"/>
          <w:b w:val="0"/>
          <w:bCs w:val="0"/>
          <w:sz w:val="22"/>
          <w:szCs w:val="24"/>
        </w:rPr>
        <w:br w:type="page"/>
      </w:r>
      <w:bookmarkStart w:id="9" w:name="_Toc315790471"/>
      <w:r w:rsidR="00244AB0" w:rsidRPr="00662F03">
        <w:rPr>
          <w:rFonts w:ascii="Calibri" w:hAnsi="Calibri"/>
          <w:b w:val="0"/>
        </w:rPr>
        <w:lastRenderedPageBreak/>
        <w:t xml:space="preserve">Wykres </w:t>
      </w:r>
      <w:r w:rsidR="005433B6" w:rsidRPr="00662F03">
        <w:rPr>
          <w:rFonts w:ascii="Calibri" w:hAnsi="Calibri"/>
          <w:b w:val="0"/>
        </w:rPr>
        <w:fldChar w:fldCharType="begin"/>
      </w:r>
      <w:r w:rsidR="00244AB0"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2</w:t>
      </w:r>
      <w:r w:rsidR="005433B6" w:rsidRPr="00662F03">
        <w:rPr>
          <w:rFonts w:ascii="Calibri" w:hAnsi="Calibri"/>
          <w:b w:val="0"/>
        </w:rPr>
        <w:fldChar w:fldCharType="end"/>
      </w:r>
      <w:r w:rsidR="00244AB0" w:rsidRPr="00662F03">
        <w:rPr>
          <w:rFonts w:ascii="Calibri" w:hAnsi="Calibri"/>
          <w:b w:val="0"/>
        </w:rPr>
        <w:t>.</w:t>
      </w:r>
      <w:r w:rsidR="00AD4624">
        <w:rPr>
          <w:rFonts w:ascii="Calibri" w:hAnsi="Calibri"/>
          <w:b w:val="0"/>
        </w:rPr>
        <w:t xml:space="preserve"> </w:t>
      </w:r>
      <w:r w:rsidR="00AD4624" w:rsidRPr="00AD4624">
        <w:rPr>
          <w:rFonts w:ascii="Calibri" w:hAnsi="Calibri"/>
          <w:b w:val="0"/>
        </w:rPr>
        <w:t>Struktura ludności w Nowej Soli w 2009 r.</w:t>
      </w:r>
      <w:bookmarkEnd w:id="9"/>
    </w:p>
    <w:p w:rsidR="00244AB0" w:rsidRPr="00662F03" w:rsidRDefault="005B1628" w:rsidP="00244AB0">
      <w:pPr>
        <w:pStyle w:val="Legenda"/>
        <w:jc w:val="center"/>
        <w:rPr>
          <w:rFonts w:ascii="Calibri" w:hAnsi="Calibri" w:cs="Calibri"/>
          <w:sz w:val="22"/>
          <w:szCs w:val="22"/>
        </w:rPr>
      </w:pPr>
      <w:r>
        <w:rPr>
          <w:rFonts w:ascii="Calibri" w:hAnsi="Calibri" w:cs="Calibri"/>
          <w:noProof/>
          <w:sz w:val="22"/>
          <w:szCs w:val="22"/>
        </w:rPr>
        <w:drawing>
          <wp:inline distT="0" distB="0" distL="0" distR="0">
            <wp:extent cx="5008107" cy="3330527"/>
            <wp:effectExtent l="19050" t="0" r="21093" b="3223"/>
            <wp:docPr id="2"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4AB0" w:rsidRPr="00662F03" w:rsidRDefault="00244AB0" w:rsidP="00244AB0">
      <w:pPr>
        <w:rPr>
          <w:rFonts w:ascii="Calibri" w:hAnsi="Calibri" w:cs="Calibri"/>
          <w:sz w:val="20"/>
          <w:szCs w:val="20"/>
        </w:rPr>
      </w:pPr>
      <w:r w:rsidRPr="00662F03">
        <w:rPr>
          <w:rFonts w:ascii="Calibri" w:hAnsi="Calibri" w:cs="Calibri"/>
          <w:sz w:val="20"/>
          <w:szCs w:val="20"/>
        </w:rPr>
        <w:t>Źródło: opracowanie własne na podstawie danych GUS</w:t>
      </w:r>
      <w:r w:rsidR="00E0099E">
        <w:rPr>
          <w:rFonts w:ascii="Calibri" w:hAnsi="Calibri"/>
          <w:sz w:val="20"/>
        </w:rPr>
        <w:t>, Bank Danych Lokalnych</w:t>
      </w:r>
      <w:r w:rsidRPr="00662F03">
        <w:rPr>
          <w:rFonts w:ascii="Calibri" w:hAnsi="Calibri" w:cs="Calibri"/>
          <w:sz w:val="20"/>
          <w:szCs w:val="20"/>
        </w:rPr>
        <w:t>.</w:t>
      </w:r>
    </w:p>
    <w:p w:rsidR="00244AB0" w:rsidRPr="00662F03" w:rsidRDefault="00244AB0" w:rsidP="00244AB0">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Ujemny przyrost naturalny oraz ujemne saldo migracji determinują spadek liczby mieszkańców Nowej Soli. Należy zaznaczyć, że w ostatnich latach nastąpił wzrost liczby mieszkańców na obszarze gminy wiejskiej, na co wskazuje również kierunek emigracji mieszkańców Nowej Soli. W 2009 r. najwięcej osób wymeldowało się na wieś. Według prognoz liczba mieszkańców całego województwa lubuskiego oraz powiatu nowosolskiego będzie spadać, zatem można przypuszczać, że również liczba osób mieszkając</w:t>
      </w:r>
      <w:r w:rsidR="00995D15">
        <w:rPr>
          <w:rFonts w:ascii="Calibri" w:hAnsi="Calibri" w:cs="Tahoma"/>
          <w:sz w:val="22"/>
          <w:szCs w:val="22"/>
        </w:rPr>
        <w:t>ych</w:t>
      </w:r>
      <w:r w:rsidRPr="00662F03">
        <w:rPr>
          <w:rFonts w:ascii="Calibri" w:hAnsi="Calibri" w:cs="Tahoma"/>
          <w:sz w:val="22"/>
          <w:szCs w:val="22"/>
        </w:rPr>
        <w:t xml:space="preserve"> w Nowej Soli nadal będzie się zmniejszać.</w:t>
      </w:r>
    </w:p>
    <w:p w:rsidR="00244AB0" w:rsidRPr="00662F03" w:rsidRDefault="00244AB0" w:rsidP="00244AB0">
      <w:pPr>
        <w:pStyle w:val="Legenda"/>
        <w:rPr>
          <w:rFonts w:ascii="Calibri" w:hAnsi="Calibri" w:cs="Tahoma"/>
          <w:b w:val="0"/>
          <w:sz w:val="22"/>
          <w:szCs w:val="22"/>
        </w:rPr>
      </w:pPr>
      <w:bookmarkStart w:id="10" w:name="_Toc315790472"/>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3</w:t>
      </w:r>
      <w:r w:rsidR="005433B6" w:rsidRPr="00662F03">
        <w:rPr>
          <w:rFonts w:ascii="Calibri" w:hAnsi="Calibri"/>
          <w:b w:val="0"/>
        </w:rPr>
        <w:fldChar w:fldCharType="end"/>
      </w:r>
      <w:r w:rsidRPr="00662F03">
        <w:rPr>
          <w:rFonts w:ascii="Calibri" w:hAnsi="Calibri"/>
          <w:b w:val="0"/>
        </w:rPr>
        <w:t>.</w:t>
      </w:r>
      <w:r w:rsidR="00AD4624">
        <w:rPr>
          <w:rFonts w:ascii="Calibri" w:hAnsi="Calibri"/>
          <w:b w:val="0"/>
        </w:rPr>
        <w:t xml:space="preserve"> </w:t>
      </w:r>
      <w:r w:rsidR="00AD4624" w:rsidRPr="00AD4624">
        <w:rPr>
          <w:rFonts w:ascii="Calibri" w:hAnsi="Calibri"/>
          <w:b w:val="0"/>
        </w:rPr>
        <w:t>Ruch naturalny w mieście Nowa Sól w latach 2003-2009</w:t>
      </w:r>
      <w:r w:rsidR="00AD4624">
        <w:rPr>
          <w:rFonts w:ascii="Calibri" w:hAnsi="Calibri"/>
          <w:b w:val="0"/>
        </w:rPr>
        <w:t>.</w:t>
      </w:r>
      <w:bookmarkEnd w:id="10"/>
    </w:p>
    <w:p w:rsidR="00244AB0" w:rsidRPr="00662F03" w:rsidRDefault="005B1628" w:rsidP="00244AB0">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4669290" cy="2885694"/>
            <wp:effectExtent l="19050" t="0" r="17010" b="0"/>
            <wp:docPr id="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44AB0" w:rsidRPr="00662F03" w:rsidRDefault="00244AB0" w:rsidP="00244AB0">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E0099E">
        <w:rPr>
          <w:rFonts w:ascii="Calibri" w:hAnsi="Calibri"/>
          <w:sz w:val="20"/>
        </w:rPr>
        <w:t>, Bank Danych Lokalnych</w:t>
      </w:r>
      <w:r w:rsidRPr="00662F03">
        <w:rPr>
          <w:rFonts w:ascii="Calibri" w:hAnsi="Calibri" w:cs="Tahoma"/>
          <w:sz w:val="20"/>
          <w:szCs w:val="22"/>
        </w:rPr>
        <w:t>.</w:t>
      </w:r>
    </w:p>
    <w:p w:rsidR="00244AB0" w:rsidRDefault="00244AB0" w:rsidP="00244AB0">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 xml:space="preserve">Blisko ⅔ mieszkańców Nowej Soli stanowią osoby w wieku produkcyjnym (w wieku 18-59/64 lata), a wielkość tego wskaźnika utrzymuje się na podobnym poziomie od 2003r. Jednocześnie spada udział ludności w wieku przedprodukcyjnym, który jest niższy od wskaźnika zarówno dla Polski, jak i województwa lubuskiego. W ostatnich latach również udział ludności w wieku powyżej 60/65 lat wzrasta szybciej niż w przypadku kraju i województwa. Zaobserwowane tendencje demograficzne są </w:t>
      </w:r>
      <w:r w:rsidRPr="00662F03">
        <w:rPr>
          <w:rFonts w:ascii="Calibri" w:hAnsi="Calibri" w:cs="Tahoma"/>
          <w:sz w:val="22"/>
          <w:szCs w:val="22"/>
        </w:rPr>
        <w:lastRenderedPageBreak/>
        <w:t>niekorzystne dla miasta, ponieważ wskazują na proces starzenia się społeczeństwa, nawet szybszy niż średnio w województwie i Polsce.</w:t>
      </w:r>
    </w:p>
    <w:p w:rsidR="007005CB" w:rsidRPr="00662F03" w:rsidRDefault="007005CB" w:rsidP="00244AB0">
      <w:pPr>
        <w:shd w:val="clear" w:color="auto" w:fill="FFFFFF"/>
        <w:spacing w:before="150" w:after="75"/>
        <w:jc w:val="both"/>
        <w:outlineLvl w:val="3"/>
        <w:rPr>
          <w:rFonts w:ascii="Calibri" w:hAnsi="Calibri" w:cs="Tahoma"/>
          <w:sz w:val="22"/>
          <w:szCs w:val="22"/>
        </w:rPr>
      </w:pPr>
      <w:r>
        <w:rPr>
          <w:rFonts w:ascii="Calibri" w:hAnsi="Calibri" w:cs="Tahoma"/>
          <w:sz w:val="22"/>
          <w:szCs w:val="22"/>
        </w:rPr>
        <w:t xml:space="preserve">Proces starzenia się społeczeństwa jest </w:t>
      </w:r>
      <w:r w:rsidR="00815BD8">
        <w:rPr>
          <w:rFonts w:ascii="Calibri" w:hAnsi="Calibri" w:cs="Tahoma"/>
          <w:sz w:val="22"/>
          <w:szCs w:val="22"/>
        </w:rPr>
        <w:t xml:space="preserve">istotnym </w:t>
      </w:r>
      <w:r>
        <w:rPr>
          <w:rFonts w:ascii="Calibri" w:hAnsi="Calibri" w:cs="Tahoma"/>
          <w:sz w:val="22"/>
          <w:szCs w:val="22"/>
        </w:rPr>
        <w:t>problemem społecznym</w:t>
      </w:r>
      <w:r w:rsidR="00815BD8">
        <w:rPr>
          <w:rFonts w:ascii="Calibri" w:hAnsi="Calibri" w:cs="Tahoma"/>
          <w:sz w:val="22"/>
          <w:szCs w:val="22"/>
        </w:rPr>
        <w:t xml:space="preserve"> i gospodarczym</w:t>
      </w:r>
      <w:r>
        <w:rPr>
          <w:rFonts w:ascii="Calibri" w:hAnsi="Calibri" w:cs="Tahoma"/>
          <w:sz w:val="22"/>
          <w:szCs w:val="22"/>
        </w:rPr>
        <w:t>. Wielu mieszkańców Nowej Soli ogranicza swoją działalność zawodową i czas wolny</w:t>
      </w:r>
      <w:r w:rsidR="00815BD8">
        <w:rPr>
          <w:rFonts w:ascii="Calibri" w:hAnsi="Calibri" w:cs="Tahoma"/>
          <w:sz w:val="22"/>
          <w:szCs w:val="22"/>
        </w:rPr>
        <w:t xml:space="preserve"> opiekując się rodzicami w podeszłym wieku. Skala problemu wzrasta, wpływa na jakość życia nowosolan. </w:t>
      </w:r>
      <w:r w:rsidR="00815BD8" w:rsidRPr="00815BD8">
        <w:rPr>
          <w:rFonts w:ascii="Calibri" w:hAnsi="Calibri" w:cs="Tahoma"/>
          <w:sz w:val="22"/>
          <w:szCs w:val="22"/>
        </w:rPr>
        <w:t>Sytuacja ta stanowi poważnie wyzwanie dla polityki socjalnej</w:t>
      </w:r>
      <w:r w:rsidR="00815BD8">
        <w:rPr>
          <w:rFonts w:ascii="Calibri" w:hAnsi="Calibri" w:cs="Tahoma"/>
          <w:sz w:val="22"/>
          <w:szCs w:val="22"/>
        </w:rPr>
        <w:t>, b</w:t>
      </w:r>
      <w:r w:rsidR="00815BD8" w:rsidRPr="00815BD8">
        <w:rPr>
          <w:rFonts w:ascii="Calibri" w:hAnsi="Calibri" w:cs="Tahoma"/>
          <w:sz w:val="22"/>
          <w:szCs w:val="22"/>
        </w:rPr>
        <w:t>ędzie to wymagało planowania i organizowania takich działań pomocy społecznej, które zabezpieczą różnorodne potrzeby tej grupy wiekowej</w:t>
      </w:r>
      <w:r w:rsidR="00815BD8">
        <w:rPr>
          <w:rFonts w:ascii="Calibri" w:hAnsi="Calibri" w:cs="Tahoma"/>
          <w:sz w:val="22"/>
          <w:szCs w:val="22"/>
        </w:rPr>
        <w:t>. D</w:t>
      </w:r>
      <w:r w:rsidR="00815BD8" w:rsidRPr="00815BD8">
        <w:rPr>
          <w:rFonts w:ascii="Calibri" w:hAnsi="Calibri" w:cs="Tahoma"/>
          <w:sz w:val="22"/>
          <w:szCs w:val="22"/>
        </w:rPr>
        <w:t xml:space="preserve">uży wzrost odsetka ludzi starych prowadzi do zachwiania równowagi liczbowej między warstwą ludności pracującej </w:t>
      </w:r>
      <w:r w:rsidR="00815BD8">
        <w:rPr>
          <w:rFonts w:ascii="Calibri" w:hAnsi="Calibri" w:cs="Tahoma"/>
          <w:sz w:val="22"/>
          <w:szCs w:val="22"/>
        </w:rPr>
        <w:t>– w wieku produkcyjnym,</w:t>
      </w:r>
      <w:r w:rsidR="00815BD8" w:rsidRPr="00815BD8">
        <w:rPr>
          <w:rFonts w:ascii="Calibri" w:hAnsi="Calibri" w:cs="Tahoma"/>
          <w:sz w:val="22"/>
          <w:szCs w:val="22"/>
        </w:rPr>
        <w:t xml:space="preserve"> a tymi warstwami, które żyją na koszt ludności pracującej (dzieci, młodzież ucząca się, emeryci</w:t>
      </w:r>
      <w:r w:rsidR="00815BD8">
        <w:rPr>
          <w:rFonts w:ascii="Calibri" w:hAnsi="Calibri" w:cs="Tahoma"/>
          <w:sz w:val="22"/>
          <w:szCs w:val="22"/>
        </w:rPr>
        <w:t xml:space="preserve"> i renciści</w:t>
      </w:r>
      <w:r w:rsidR="00815BD8" w:rsidRPr="00815BD8">
        <w:rPr>
          <w:rFonts w:ascii="Calibri" w:hAnsi="Calibri" w:cs="Tahoma"/>
          <w:sz w:val="22"/>
          <w:szCs w:val="22"/>
        </w:rPr>
        <w:t>)</w:t>
      </w:r>
      <w:r w:rsidR="00815BD8">
        <w:rPr>
          <w:rFonts w:ascii="Calibri" w:hAnsi="Calibri" w:cs="Tahoma"/>
          <w:sz w:val="22"/>
          <w:szCs w:val="22"/>
        </w:rPr>
        <w:t>.</w:t>
      </w:r>
    </w:p>
    <w:p w:rsidR="00B62F9B" w:rsidRPr="00662F03" w:rsidRDefault="00B62F9B" w:rsidP="002B3308">
      <w:pPr>
        <w:pStyle w:val="Legenda"/>
        <w:rPr>
          <w:rFonts w:ascii="Calibri" w:hAnsi="Calibri" w:cs="Tahoma"/>
          <w:b w:val="0"/>
          <w:sz w:val="22"/>
          <w:szCs w:val="22"/>
        </w:rPr>
      </w:pPr>
      <w:bookmarkStart w:id="11" w:name="_Toc315790473"/>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4</w:t>
      </w:r>
      <w:r w:rsidR="005433B6" w:rsidRPr="00662F03">
        <w:rPr>
          <w:rFonts w:ascii="Calibri" w:hAnsi="Calibri"/>
          <w:b w:val="0"/>
        </w:rPr>
        <w:fldChar w:fldCharType="end"/>
      </w:r>
      <w:r w:rsidRPr="00662F03">
        <w:rPr>
          <w:rFonts w:ascii="Calibri" w:hAnsi="Calibri"/>
          <w:b w:val="0"/>
        </w:rPr>
        <w:t>.</w:t>
      </w:r>
      <w:r w:rsidR="00AD4624">
        <w:rPr>
          <w:rFonts w:ascii="Calibri" w:hAnsi="Calibri"/>
          <w:b w:val="0"/>
        </w:rPr>
        <w:t xml:space="preserve"> </w:t>
      </w:r>
      <w:r w:rsidR="00AD4624" w:rsidRPr="00AD4624">
        <w:rPr>
          <w:rFonts w:ascii="Calibri" w:hAnsi="Calibri"/>
          <w:b w:val="0"/>
        </w:rPr>
        <w:t>Struktura ludności Nowej Soli wg ekonomicznych grup wieku w 2009 r.</w:t>
      </w:r>
      <w:bookmarkEnd w:id="11"/>
    </w:p>
    <w:p w:rsidR="00B62F9B" w:rsidRPr="00662F03" w:rsidRDefault="005B1628" w:rsidP="002B3308">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4584540" cy="2513341"/>
            <wp:effectExtent l="19050" t="0" r="25560" b="1259"/>
            <wp:docPr id="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2F9B" w:rsidRPr="00662F03" w:rsidRDefault="00B62F9B" w:rsidP="00B62F9B">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E0099E">
        <w:rPr>
          <w:rFonts w:ascii="Calibri" w:hAnsi="Calibri"/>
          <w:sz w:val="20"/>
        </w:rPr>
        <w:t>, Bank Danych Lokalnych</w:t>
      </w:r>
      <w:r w:rsidRPr="00662F03">
        <w:rPr>
          <w:rFonts w:ascii="Calibri" w:hAnsi="Calibri" w:cs="Tahoma"/>
          <w:sz w:val="20"/>
          <w:szCs w:val="22"/>
        </w:rPr>
        <w:t>.</w:t>
      </w:r>
    </w:p>
    <w:p w:rsidR="00B62F9B" w:rsidRPr="00662F03" w:rsidRDefault="00B62F9B" w:rsidP="00B62F9B">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Wskaźnik obciążenia demograficznego w mieście Nowa Sól, przedstawiający liczbę ludności w wieku nieprodukcyjnym na 100 osób w wieku produkcyjnym, spadł w ostatnich latach. W 2009 r. wynosił prawie 54</w:t>
      </w:r>
      <w:r w:rsidR="004F6882" w:rsidRPr="00662F03">
        <w:rPr>
          <w:rFonts w:ascii="Calibri" w:hAnsi="Calibri" w:cs="Tahoma"/>
          <w:sz w:val="22"/>
          <w:szCs w:val="22"/>
        </w:rPr>
        <w:t>,</w:t>
      </w:r>
      <w:r w:rsidRPr="00662F03">
        <w:rPr>
          <w:rFonts w:ascii="Calibri" w:hAnsi="Calibri" w:cs="Tahoma"/>
          <w:sz w:val="22"/>
          <w:szCs w:val="22"/>
        </w:rPr>
        <w:t xml:space="preserve"> co oznacza w uproszczeniu, że na jedną osobę niepracującą przypadało mniej niż dwie osoby pracujące. Dla Polski wskaźnik ten wynosił 55, natomiast dla województwa lubuskiego 52. Średnia wskaźnika dla 57 wybranych miast Polski o podobnej liczbie mieszkańców wyniosła ponad 53, natomiast Nowa Sól plasowała się na 26 miejscu (na 47 pozycji).</w:t>
      </w:r>
    </w:p>
    <w:p w:rsidR="00244AB0" w:rsidRPr="00662F03" w:rsidRDefault="00B62F9B" w:rsidP="00B62F9B">
      <w:pPr>
        <w:pStyle w:val="Legenda"/>
        <w:rPr>
          <w:rFonts w:ascii="Calibri" w:hAnsi="Calibri" w:cs="Tahoma"/>
          <w:b w:val="0"/>
          <w:sz w:val="22"/>
          <w:szCs w:val="22"/>
        </w:rPr>
      </w:pPr>
      <w:bookmarkStart w:id="12" w:name="_Toc315790474"/>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5</w:t>
      </w:r>
      <w:r w:rsidR="005433B6" w:rsidRPr="00662F03">
        <w:rPr>
          <w:rFonts w:ascii="Calibri" w:hAnsi="Calibri"/>
          <w:b w:val="0"/>
        </w:rPr>
        <w:fldChar w:fldCharType="end"/>
      </w:r>
      <w:r w:rsidRPr="00662F03">
        <w:rPr>
          <w:rFonts w:ascii="Calibri" w:hAnsi="Calibri"/>
          <w:b w:val="0"/>
        </w:rPr>
        <w:t>.</w:t>
      </w:r>
      <w:r w:rsidR="00AD4624">
        <w:rPr>
          <w:rFonts w:ascii="Calibri" w:hAnsi="Calibri"/>
          <w:b w:val="0"/>
        </w:rPr>
        <w:t xml:space="preserve"> </w:t>
      </w:r>
      <w:r w:rsidR="00AD4624" w:rsidRPr="00AD4624">
        <w:rPr>
          <w:rFonts w:ascii="Calibri" w:hAnsi="Calibri"/>
          <w:b w:val="0"/>
        </w:rPr>
        <w:t>Wskaźnik obciążenia demograficznego w 2009 r. w Nowej Soli na tle Polski, województwa oraz miast o podobnej liczbie ludności</w:t>
      </w:r>
      <w:r w:rsidR="00AD4624">
        <w:rPr>
          <w:rFonts w:ascii="Calibri" w:hAnsi="Calibri"/>
          <w:b w:val="0"/>
        </w:rPr>
        <w:t>.</w:t>
      </w:r>
      <w:bookmarkEnd w:id="12"/>
    </w:p>
    <w:p w:rsidR="00B62F9B" w:rsidRPr="00662F03" w:rsidRDefault="005B1628" w:rsidP="00B62F9B">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4383861" cy="2555632"/>
            <wp:effectExtent l="19050" t="0" r="16689" b="0"/>
            <wp:docPr id="5"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2F9B" w:rsidRPr="00662F03" w:rsidRDefault="00B62F9B" w:rsidP="00B62F9B">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E0099E">
        <w:rPr>
          <w:rFonts w:ascii="Calibri" w:hAnsi="Calibri"/>
          <w:sz w:val="20"/>
        </w:rPr>
        <w:t>, Bank Danych Lokalnych</w:t>
      </w:r>
      <w:r w:rsidRPr="00662F03">
        <w:rPr>
          <w:rFonts w:ascii="Calibri" w:hAnsi="Calibri" w:cs="Tahoma"/>
          <w:sz w:val="20"/>
          <w:szCs w:val="22"/>
        </w:rPr>
        <w:t>.</w:t>
      </w:r>
    </w:p>
    <w:p w:rsidR="00E54F5E" w:rsidRPr="00662F03" w:rsidRDefault="00E54F5E" w:rsidP="00B62F9B">
      <w:pPr>
        <w:shd w:val="clear" w:color="auto" w:fill="FFFFFF"/>
        <w:spacing w:after="75"/>
        <w:jc w:val="both"/>
        <w:outlineLvl w:val="3"/>
        <w:rPr>
          <w:rFonts w:ascii="Calibri" w:hAnsi="Calibri" w:cs="Tahoma"/>
          <w:sz w:val="20"/>
          <w:szCs w:val="22"/>
        </w:rPr>
      </w:pPr>
    </w:p>
    <w:bookmarkStart w:id="13" w:name="_Toc285111444"/>
    <w:bookmarkStart w:id="14" w:name="_Toc285111475"/>
    <w:bookmarkEnd w:id="13"/>
    <w:bookmarkEnd w:id="14"/>
    <w:p w:rsidR="004F6882" w:rsidRPr="00662F03" w:rsidRDefault="005433B6" w:rsidP="00BC263D">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55" style="width:449.8pt;height:170.3pt;rotation:-360;mso-position-horizontal-relative:char;mso-position-vertical-relative:line" o:allowincell="f" fillcolor="#a7bfde" stroked="f">
            <v:fill opacity="13107f"/>
            <v:imagedata embosscolor="shadow add(51)"/>
            <v:shadow on="t" color="#d4cfb3" opacity=".5" offset="19pt,-21pt" offset2="26pt,-30pt"/>
            <v:textbox style="mso-next-textbox:#_x0000_s1055;mso-fit-shape-to-text:t" inset="28.8pt,7.2pt,14.4pt,28.8pt">
              <w:txbxContent>
                <w:p w:rsidR="00D24064" w:rsidRPr="00EC0E96" w:rsidRDefault="00D24064" w:rsidP="00CF3278">
                  <w:pPr>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E54F5E">
                  <w:pPr>
                    <w:jc w:val="both"/>
                    <w:rPr>
                      <w:rFonts w:ascii="Calibri" w:hAnsi="Calibri"/>
                      <w:i/>
                      <w:iCs/>
                      <w:color w:val="1F497D"/>
                      <w:sz w:val="22"/>
                      <w:szCs w:val="28"/>
                    </w:rPr>
                  </w:pPr>
                  <w:r w:rsidRPr="00EC0E96">
                    <w:rPr>
                      <w:rFonts w:ascii="Calibri" w:hAnsi="Calibri"/>
                      <w:i/>
                      <w:iCs/>
                      <w:color w:val="1F497D"/>
                      <w:sz w:val="22"/>
                      <w:szCs w:val="28"/>
                    </w:rPr>
                    <w:t>Systematyczny spadek liczby mieszkańców miasta jest równoważony wzrostem liczby mies</w:t>
                  </w:r>
                  <w:r>
                    <w:rPr>
                      <w:rFonts w:ascii="Calibri" w:hAnsi="Calibri"/>
                      <w:i/>
                      <w:iCs/>
                      <w:color w:val="1F497D"/>
                      <w:sz w:val="22"/>
                      <w:szCs w:val="28"/>
                    </w:rPr>
                    <w:t xml:space="preserve">zkańców na obszarach wiejskich. </w:t>
                  </w:r>
                  <w:r w:rsidRPr="00EC0E96">
                    <w:rPr>
                      <w:rFonts w:ascii="Calibri" w:hAnsi="Calibri"/>
                      <w:i/>
                      <w:iCs/>
                      <w:color w:val="1F497D"/>
                      <w:sz w:val="22"/>
                      <w:szCs w:val="28"/>
                    </w:rPr>
                    <w:t>Utrzymuje się ujemne saldo migracji, wysokie jest również saldo migracji gminnych wewnętrznych.</w:t>
                  </w:r>
                </w:p>
                <w:p w:rsidR="00D24064" w:rsidRPr="00EC0E96" w:rsidRDefault="00D24064" w:rsidP="00E54F5E">
                  <w:pPr>
                    <w:jc w:val="both"/>
                    <w:rPr>
                      <w:rFonts w:ascii="Calibri" w:hAnsi="Calibri"/>
                      <w:i/>
                      <w:iCs/>
                      <w:color w:val="1F497D"/>
                      <w:sz w:val="22"/>
                      <w:szCs w:val="28"/>
                    </w:rPr>
                  </w:pPr>
                  <w:r w:rsidRPr="00EC0E96">
                    <w:rPr>
                      <w:rFonts w:ascii="Calibri" w:hAnsi="Calibri"/>
                      <w:i/>
                      <w:iCs/>
                      <w:color w:val="1F497D"/>
                      <w:sz w:val="22"/>
                      <w:szCs w:val="28"/>
                    </w:rPr>
                    <w:t>Następuje szybki proces starzenia się mieszkańców miasta, w latach 2003-2009 odnotowano prawie 15% spadek liczby ludności w wieku przedprodukcyjnym, przy ponad 11% wzroście liczby ludności w wieku poprodukcyjnym.</w:t>
                  </w:r>
                </w:p>
                <w:p w:rsidR="00D24064" w:rsidRPr="00EC0E96" w:rsidRDefault="00D24064" w:rsidP="00E54F5E">
                  <w:pPr>
                    <w:jc w:val="both"/>
                    <w:rPr>
                      <w:rFonts w:ascii="Calibri" w:hAnsi="Calibri"/>
                      <w:i/>
                      <w:iCs/>
                      <w:color w:val="1F497D"/>
                      <w:sz w:val="22"/>
                      <w:szCs w:val="28"/>
                    </w:rPr>
                  </w:pPr>
                  <w:r w:rsidRPr="00EC0E96">
                    <w:rPr>
                      <w:rFonts w:ascii="Calibri" w:hAnsi="Calibri"/>
                      <w:i/>
                      <w:iCs/>
                      <w:color w:val="1F497D"/>
                      <w:sz w:val="22"/>
                      <w:szCs w:val="28"/>
                    </w:rPr>
                    <w:t>Zmiany demograficzne będą wywierały silny wpływ na rynek pracy, szkolnictwo, popyt na usługi dla osób starszych oraz kondycję finansową miasta.</w:t>
                  </w:r>
                </w:p>
              </w:txbxContent>
            </v:textbox>
            <w10:wrap type="none" anchorx="margin" anchory="page"/>
            <w10:anchorlock/>
          </v:rect>
        </w:pict>
      </w:r>
    </w:p>
    <w:p w:rsidR="00DB6C44" w:rsidRPr="00662F03" w:rsidRDefault="00DB6C44">
      <w:pPr>
        <w:rPr>
          <w:rFonts w:ascii="Calibri" w:hAnsi="Calibri" w:cs="Tahoma"/>
          <w:sz w:val="22"/>
          <w:szCs w:val="22"/>
        </w:rPr>
      </w:pPr>
    </w:p>
    <w:p w:rsidR="004B10CE" w:rsidRPr="00662F03" w:rsidRDefault="007B67D9" w:rsidP="002A1E86">
      <w:pPr>
        <w:pStyle w:val="Nagwek1"/>
        <w:numPr>
          <w:ilvl w:val="0"/>
          <w:numId w:val="1"/>
        </w:numPr>
        <w:rPr>
          <w:rFonts w:ascii="Calibri" w:hAnsi="Calibri"/>
          <w:color w:val="17365D"/>
          <w:sz w:val="24"/>
        </w:rPr>
      </w:pPr>
      <w:bookmarkStart w:id="15" w:name="_Toc316395254"/>
      <w:r w:rsidRPr="00662F03">
        <w:rPr>
          <w:rFonts w:ascii="Calibri" w:hAnsi="Calibri"/>
          <w:color w:val="17365D"/>
          <w:sz w:val="24"/>
        </w:rPr>
        <w:t>Analiza struktury zatrudnienia i rynku pracy w mieście i regionie</w:t>
      </w:r>
      <w:bookmarkEnd w:id="15"/>
    </w:p>
    <w:p w:rsidR="00073B83" w:rsidRPr="00662F03" w:rsidRDefault="00073B83" w:rsidP="00073B83">
      <w:pPr>
        <w:numPr>
          <w:ilvl w:val="1"/>
          <w:numId w:val="1"/>
        </w:numPr>
        <w:jc w:val="both"/>
        <w:rPr>
          <w:rFonts w:ascii="Calibri" w:hAnsi="Calibri" w:cs="Calibri"/>
          <w:b/>
          <w:i/>
          <w:color w:val="17365D"/>
          <w:sz w:val="20"/>
          <w:szCs w:val="20"/>
        </w:rPr>
      </w:pPr>
      <w:r w:rsidRPr="00662F03">
        <w:rPr>
          <w:rFonts w:ascii="Calibri" w:hAnsi="Calibri" w:cs="Calibri"/>
          <w:b/>
          <w:i/>
          <w:color w:val="17365D"/>
          <w:sz w:val="20"/>
          <w:szCs w:val="20"/>
        </w:rPr>
        <w:t>Pracujący</w:t>
      </w:r>
    </w:p>
    <w:p w:rsidR="002637F4" w:rsidRPr="00662F03" w:rsidRDefault="002637F4" w:rsidP="002637F4">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danych Głównego Urzędu Statystycznego w 2009 r. w Nowej Soli pracowało ponad 9,6 tys. osób</w:t>
      </w:r>
      <w:r w:rsidR="00320B85" w:rsidRPr="00662F03">
        <w:rPr>
          <w:rStyle w:val="Odwoanieprzypisudolnego"/>
          <w:rFonts w:ascii="Calibri" w:hAnsi="Calibri" w:cs="Tahoma"/>
          <w:sz w:val="22"/>
          <w:szCs w:val="22"/>
        </w:rPr>
        <w:footnoteReference w:id="2"/>
      </w:r>
      <w:r w:rsidRPr="00662F03">
        <w:rPr>
          <w:rFonts w:ascii="Calibri" w:hAnsi="Calibri" w:cs="Tahoma"/>
          <w:sz w:val="22"/>
          <w:szCs w:val="22"/>
        </w:rPr>
        <w:t>. Na 1000 mieszkańców przypadało 241 osób pracujących. Wskaźnik ten od roku 2003 systematycznie wzrasta – w 2003 r. na 1000 mieszkańców było 202 pracujących. Jednocześnie wzrasta udział osób pracujących w ogólnej liczbie osób w wieku produkcyjnym. W 2009 r. osoby pracujące stanowiły ponad 37% osób w wieku 18-59/64 lata, natomiast w 2003 rzadziej niż co trzecia osoba w wieku produkcyjnym była zatrudniona w mieście. W 2009 r. w sektorze prywatnym pracowało blisko ⅔ ogółu pracujących w Nowej Soli. Najwięcej osób pracowało w przedsiębiorstwach usługowych – ponad 5,2 tys. osób, co stanowiło blisko 55% osób pracujących w mieście. Podmioty z sektora budownictwa i przemysłu zapewniły zatrudnienie dla 45% mieszkańców miasta Nowa Sól.</w:t>
      </w:r>
    </w:p>
    <w:p w:rsidR="002637F4" w:rsidRPr="00662F03" w:rsidRDefault="002637F4" w:rsidP="002637F4">
      <w:pPr>
        <w:pStyle w:val="Legenda"/>
        <w:rPr>
          <w:rFonts w:ascii="Calibri" w:hAnsi="Calibri" w:cs="Tahoma"/>
          <w:b w:val="0"/>
          <w:sz w:val="22"/>
          <w:szCs w:val="22"/>
        </w:rPr>
      </w:pPr>
      <w:bookmarkStart w:id="16" w:name="_Toc315790475"/>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6</w:t>
      </w:r>
      <w:r w:rsidR="005433B6" w:rsidRPr="00662F03">
        <w:rPr>
          <w:rFonts w:ascii="Calibri" w:hAnsi="Calibri"/>
          <w:b w:val="0"/>
        </w:rPr>
        <w:fldChar w:fldCharType="end"/>
      </w:r>
      <w:r w:rsidRPr="00662F03">
        <w:rPr>
          <w:rFonts w:ascii="Calibri" w:hAnsi="Calibri"/>
          <w:b w:val="0"/>
        </w:rPr>
        <w:t>.</w:t>
      </w:r>
      <w:r w:rsidR="00AD4624">
        <w:rPr>
          <w:rFonts w:ascii="Calibri" w:hAnsi="Calibri"/>
          <w:b w:val="0"/>
        </w:rPr>
        <w:t xml:space="preserve"> </w:t>
      </w:r>
      <w:r w:rsidR="00AD4624" w:rsidRPr="00AD4624">
        <w:rPr>
          <w:rFonts w:ascii="Calibri" w:hAnsi="Calibri"/>
          <w:b w:val="0"/>
        </w:rPr>
        <w:t>Pracujący w gospodarce narodowej wg sekcji PKD w Nowej Soli w 2009  roku</w:t>
      </w:r>
      <w:r w:rsidR="00AD4624">
        <w:rPr>
          <w:rFonts w:ascii="Calibri" w:hAnsi="Calibri"/>
          <w:b w:val="0"/>
        </w:rPr>
        <w:t>.</w:t>
      </w:r>
      <w:bookmarkEnd w:id="16"/>
    </w:p>
    <w:p w:rsidR="002637F4" w:rsidRPr="00662F03" w:rsidRDefault="005B1628" w:rsidP="00073B83">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5301187" cy="2317898"/>
            <wp:effectExtent l="19050" t="0" r="13763" b="6202"/>
            <wp:docPr id="7"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37F4" w:rsidRPr="00662F03" w:rsidRDefault="002637F4" w:rsidP="002637F4">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7D559F" w:rsidRPr="00C0781D" w:rsidRDefault="00C0781D" w:rsidP="002637F4">
      <w:pPr>
        <w:shd w:val="clear" w:color="auto" w:fill="FFFFFF"/>
        <w:spacing w:after="75"/>
        <w:jc w:val="both"/>
        <w:outlineLvl w:val="3"/>
        <w:rPr>
          <w:rFonts w:ascii="Calibri" w:hAnsi="Calibri" w:cs="Tahoma"/>
          <w:sz w:val="20"/>
          <w:szCs w:val="22"/>
        </w:rPr>
      </w:pPr>
      <w:r w:rsidRPr="00C0781D">
        <w:rPr>
          <w:rFonts w:ascii="Calibri" w:hAnsi="Calibri" w:cs="Tahoma"/>
          <w:sz w:val="22"/>
        </w:rPr>
        <w:t>Ponadto według przeprowadzonych w 2006 r. przez GUS badań przepływów ludności związanych z zatrudnieniem (dojazdy do pracy)</w:t>
      </w:r>
      <w:r w:rsidRPr="00C0781D">
        <w:rPr>
          <w:rStyle w:val="Odwoanieprzypisudolnego"/>
          <w:rFonts w:ascii="Calibri" w:hAnsi="Calibri" w:cs="Tahoma"/>
          <w:sz w:val="22"/>
        </w:rPr>
        <w:t xml:space="preserve"> </w:t>
      </w:r>
      <w:r w:rsidRPr="00C0781D">
        <w:rPr>
          <w:rStyle w:val="Odwoanieprzypisudolnego"/>
          <w:rFonts w:ascii="Calibri" w:hAnsi="Calibri" w:cs="Tahoma"/>
          <w:sz w:val="22"/>
        </w:rPr>
        <w:footnoteReference w:id="3"/>
      </w:r>
      <w:r w:rsidRPr="00C0781D">
        <w:rPr>
          <w:rFonts w:ascii="Calibri" w:hAnsi="Calibri" w:cs="Tahoma"/>
          <w:sz w:val="22"/>
        </w:rPr>
        <w:t xml:space="preserve"> liczba osób wyjeżdżających do pracy z</w:t>
      </w:r>
      <w:r>
        <w:rPr>
          <w:rFonts w:ascii="Calibri" w:hAnsi="Calibri" w:cs="Tahoma"/>
          <w:sz w:val="22"/>
        </w:rPr>
        <w:t xml:space="preserve"> Nowej Soli wynosiła prawie 1,7 tys. osób. </w:t>
      </w:r>
      <w:r w:rsidR="009C03C5">
        <w:rPr>
          <w:rFonts w:ascii="Calibri" w:hAnsi="Calibri" w:cs="Tahoma"/>
          <w:sz w:val="22"/>
        </w:rPr>
        <w:t>Natomiast l</w:t>
      </w:r>
      <w:r>
        <w:rPr>
          <w:rFonts w:ascii="Calibri" w:hAnsi="Calibri" w:cs="Tahoma"/>
          <w:sz w:val="22"/>
        </w:rPr>
        <w:t xml:space="preserve">iczba przyjeżdżających </w:t>
      </w:r>
      <w:r w:rsidR="009C03C5">
        <w:rPr>
          <w:rFonts w:ascii="Calibri" w:hAnsi="Calibri" w:cs="Tahoma"/>
          <w:sz w:val="22"/>
        </w:rPr>
        <w:t xml:space="preserve">do pracy w Nowej Soli </w:t>
      </w:r>
      <w:r>
        <w:rPr>
          <w:rFonts w:ascii="Calibri" w:hAnsi="Calibri" w:cs="Tahoma"/>
          <w:sz w:val="22"/>
        </w:rPr>
        <w:t>wynosiła 2,3 tys. osób.</w:t>
      </w:r>
    </w:p>
    <w:p w:rsidR="003F53E6" w:rsidRPr="00662F03" w:rsidRDefault="002637F4" w:rsidP="002637F4">
      <w:pPr>
        <w:shd w:val="clear" w:color="auto" w:fill="FFFFFF"/>
        <w:spacing w:after="75"/>
        <w:jc w:val="both"/>
        <w:outlineLvl w:val="3"/>
        <w:rPr>
          <w:rFonts w:ascii="Calibri" w:hAnsi="Calibri" w:cs="Tahoma"/>
          <w:sz w:val="22"/>
          <w:szCs w:val="22"/>
        </w:rPr>
      </w:pPr>
      <w:r w:rsidRPr="00662F03">
        <w:rPr>
          <w:rFonts w:ascii="Calibri" w:hAnsi="Calibri" w:cs="Tahoma"/>
          <w:sz w:val="22"/>
          <w:szCs w:val="22"/>
        </w:rPr>
        <w:lastRenderedPageBreak/>
        <w:t>Wśród największych firm w</w:t>
      </w:r>
      <w:r w:rsidR="003F53E6" w:rsidRPr="00662F03">
        <w:rPr>
          <w:rFonts w:ascii="Calibri" w:hAnsi="Calibri" w:cs="Tahoma"/>
          <w:sz w:val="22"/>
          <w:szCs w:val="22"/>
        </w:rPr>
        <w:t xml:space="preserve"> Nowej Soli znajdują się m.in.:</w:t>
      </w:r>
    </w:p>
    <w:p w:rsidR="005B287D" w:rsidRPr="00662F03" w:rsidRDefault="002637F4" w:rsidP="00F71F0A">
      <w:pPr>
        <w:pStyle w:val="Akapitzlist"/>
        <w:numPr>
          <w:ilvl w:val="0"/>
          <w:numId w:val="31"/>
        </w:numPr>
        <w:shd w:val="clear" w:color="auto" w:fill="FFFFFF"/>
        <w:spacing w:after="75"/>
        <w:jc w:val="both"/>
        <w:outlineLvl w:val="3"/>
        <w:rPr>
          <w:rFonts w:cs="Tahoma"/>
        </w:rPr>
      </w:pPr>
      <w:r w:rsidRPr="00662F03">
        <w:rPr>
          <w:rFonts w:cs="Tahoma"/>
        </w:rPr>
        <w:t xml:space="preserve">Gedia Poland </w:t>
      </w:r>
      <w:r w:rsidR="004F6882" w:rsidRPr="00662F03">
        <w:rPr>
          <w:rFonts w:cs="Tahoma"/>
        </w:rPr>
        <w:t>-</w:t>
      </w:r>
      <w:r w:rsidR="005B287D" w:rsidRPr="00662F03">
        <w:rPr>
          <w:rFonts w:cs="Tahoma"/>
        </w:rPr>
        <w:t xml:space="preserve"> </w:t>
      </w:r>
      <w:r w:rsidR="003F53E6" w:rsidRPr="00662F03">
        <w:rPr>
          <w:rFonts w:cs="Tahoma"/>
        </w:rPr>
        <w:t xml:space="preserve">największy prywatny pracodawca w Nowej Soli. </w:t>
      </w:r>
      <w:r w:rsidR="004F6882" w:rsidRPr="00662F03">
        <w:rPr>
          <w:rFonts w:cs="Tahoma"/>
        </w:rPr>
        <w:t>Przedsiębiorstwo z</w:t>
      </w:r>
      <w:r w:rsidR="003F53E6" w:rsidRPr="00662F03">
        <w:rPr>
          <w:rFonts w:cs="Tahoma"/>
        </w:rPr>
        <w:t xml:space="preserve">atrudnia </w:t>
      </w:r>
      <w:r w:rsidR="00397155">
        <w:rPr>
          <w:rFonts w:cs="Tahoma"/>
        </w:rPr>
        <w:t>prawie tysiąc</w:t>
      </w:r>
      <w:r w:rsidR="003F53E6" w:rsidRPr="00662F03">
        <w:rPr>
          <w:rFonts w:cs="Tahoma"/>
        </w:rPr>
        <w:t xml:space="preserve"> osób, produkuje części do aut rozmaitych światowych marek. </w:t>
      </w:r>
      <w:r w:rsidR="00F55081" w:rsidRPr="00662F03">
        <w:rPr>
          <w:rFonts w:cs="Tahoma"/>
        </w:rPr>
        <w:t xml:space="preserve">W rankingu największych polskich pracodawców mieści się na pozycji 418 i jest jedną z dwóch spółek województwa lubuskiego, która znalazła się w tym rankingu. </w:t>
      </w:r>
      <w:r w:rsidR="005B287D" w:rsidRPr="00662F03">
        <w:rPr>
          <w:rFonts w:cs="Tahoma"/>
        </w:rPr>
        <w:t xml:space="preserve">W wyniku prowadzonych inwestycji, rozbudowy zakładu zatrudnienie ma wzrosnąć do </w:t>
      </w:r>
      <w:r w:rsidR="00F55081" w:rsidRPr="00662F03">
        <w:rPr>
          <w:rFonts w:cs="Tahoma"/>
        </w:rPr>
        <w:t xml:space="preserve">ponad </w:t>
      </w:r>
      <w:r w:rsidR="005B287D" w:rsidRPr="00662F03">
        <w:rPr>
          <w:rFonts w:cs="Tahoma"/>
        </w:rPr>
        <w:t>tysiąca osób.</w:t>
      </w:r>
      <w:r w:rsidR="00F55081" w:rsidRPr="00662F03">
        <w:rPr>
          <w:rFonts w:cs="Tahoma"/>
        </w:rPr>
        <w:t xml:space="preserve"> W drugiej połowie roku 2011 </w:t>
      </w:r>
      <w:r w:rsidR="00397155" w:rsidRPr="00397155">
        <w:rPr>
          <w:rFonts w:cs="Tahoma"/>
        </w:rPr>
        <w:t>otwarto nową</w:t>
      </w:r>
      <w:r w:rsidR="00397155">
        <w:rPr>
          <w:rFonts w:cs="Tahoma"/>
        </w:rPr>
        <w:t xml:space="preserve"> halę montażową Gedii, a kolejne inwestycje są planowane </w:t>
      </w:r>
      <w:r w:rsidR="00F55081" w:rsidRPr="00662F03">
        <w:rPr>
          <w:rFonts w:cs="Tahoma"/>
        </w:rPr>
        <w:t xml:space="preserve">w </w:t>
      </w:r>
      <w:r w:rsidR="00397155">
        <w:rPr>
          <w:rFonts w:cs="Tahoma"/>
        </w:rPr>
        <w:t>pierwszej połowie</w:t>
      </w:r>
      <w:r w:rsidR="00F55081" w:rsidRPr="00662F03">
        <w:rPr>
          <w:rFonts w:cs="Tahoma"/>
        </w:rPr>
        <w:t xml:space="preserve"> 2012</w:t>
      </w:r>
      <w:r w:rsidR="00397155" w:rsidRPr="00397155">
        <w:rPr>
          <w:rFonts w:cs="Tahoma"/>
          <w:sz w:val="24"/>
          <w:szCs w:val="24"/>
        </w:rPr>
        <w:t xml:space="preserve"> </w:t>
      </w:r>
      <w:r w:rsidR="00397155" w:rsidRPr="00397155">
        <w:rPr>
          <w:rFonts w:cs="Tahoma"/>
        </w:rPr>
        <w:t>roku</w:t>
      </w:r>
      <w:r w:rsidR="00F55081" w:rsidRPr="00662F03">
        <w:rPr>
          <w:rFonts w:cs="Tahoma"/>
        </w:rPr>
        <w:t>.</w:t>
      </w:r>
    </w:p>
    <w:p w:rsidR="002637F4" w:rsidRPr="00662F03" w:rsidRDefault="00257FD1" w:rsidP="00F71F0A">
      <w:pPr>
        <w:pStyle w:val="Akapitzlist"/>
        <w:numPr>
          <w:ilvl w:val="0"/>
          <w:numId w:val="31"/>
        </w:numPr>
        <w:shd w:val="clear" w:color="auto" w:fill="FFFFFF"/>
        <w:spacing w:before="150" w:after="75"/>
        <w:jc w:val="both"/>
        <w:outlineLvl w:val="3"/>
        <w:rPr>
          <w:rFonts w:cs="Tahoma"/>
        </w:rPr>
      </w:pPr>
      <w:r w:rsidRPr="00662F03">
        <w:rPr>
          <w:rFonts w:cs="Tahoma"/>
        </w:rPr>
        <w:t>Przedsiębiorstwo Projektowo-Produkcyjne Technical Sp. z o.o. jest producentem maszyn, urządzeń oraz linii technologicznych, głównie dla przemysłu odlewniczego.</w:t>
      </w:r>
      <w:r w:rsidR="005B287D" w:rsidRPr="00662F03">
        <w:rPr>
          <w:rFonts w:cs="Tahoma"/>
        </w:rPr>
        <w:t xml:space="preserve"> Zakład zatrudnia około 130 osób.</w:t>
      </w:r>
    </w:p>
    <w:p w:rsidR="00257FD1" w:rsidRPr="00662F03" w:rsidRDefault="00257FD1" w:rsidP="00F71F0A">
      <w:pPr>
        <w:pStyle w:val="Akapitzlist"/>
        <w:numPr>
          <w:ilvl w:val="0"/>
          <w:numId w:val="31"/>
        </w:numPr>
        <w:shd w:val="clear" w:color="auto" w:fill="FFFFFF"/>
        <w:spacing w:before="150" w:after="75"/>
        <w:jc w:val="both"/>
        <w:outlineLvl w:val="3"/>
        <w:rPr>
          <w:rFonts w:cs="Tahoma"/>
        </w:rPr>
      </w:pPr>
      <w:r w:rsidRPr="00662F03">
        <w:rPr>
          <w:rFonts w:cs="Tahoma"/>
        </w:rPr>
        <w:t xml:space="preserve">Zakłady Jajczarskie OVOPOL Sp. z o.o. </w:t>
      </w:r>
      <w:r w:rsidR="000E22A4">
        <w:rPr>
          <w:rFonts w:cs="Tahoma"/>
        </w:rPr>
        <w:t>to wiodący producent</w:t>
      </w:r>
      <w:r w:rsidRPr="00662F03">
        <w:rPr>
          <w:rFonts w:cs="Tahoma"/>
        </w:rPr>
        <w:t xml:space="preserve"> wysokiej jakości i technologiczne zaawansowanych wyrobów jajczarskich w Polsce</w:t>
      </w:r>
      <w:r w:rsidR="005B287D" w:rsidRPr="00662F03">
        <w:rPr>
          <w:rFonts w:cs="Tahoma"/>
        </w:rPr>
        <w:t xml:space="preserve">. Produkuje proszek jajeczny i zatrudnia </w:t>
      </w:r>
      <w:r w:rsidR="000E22A4">
        <w:rPr>
          <w:rFonts w:cs="Tahoma"/>
        </w:rPr>
        <w:t>ponad sto</w:t>
      </w:r>
      <w:r w:rsidR="005B287D" w:rsidRPr="00662F03">
        <w:rPr>
          <w:rFonts w:cs="Tahoma"/>
        </w:rPr>
        <w:t xml:space="preserve"> </w:t>
      </w:r>
      <w:r w:rsidR="000E22A4">
        <w:rPr>
          <w:rFonts w:cs="Tahoma"/>
        </w:rPr>
        <w:t>osób</w:t>
      </w:r>
      <w:r w:rsidR="005B287D" w:rsidRPr="00662F03">
        <w:rPr>
          <w:rFonts w:cs="Tahoma"/>
        </w:rPr>
        <w:t>.</w:t>
      </w:r>
    </w:p>
    <w:p w:rsidR="004E2B6F" w:rsidRPr="00662F03" w:rsidRDefault="004E2B6F" w:rsidP="00F71F0A">
      <w:pPr>
        <w:pStyle w:val="Akapitzlist"/>
        <w:numPr>
          <w:ilvl w:val="0"/>
          <w:numId w:val="31"/>
        </w:numPr>
        <w:shd w:val="clear" w:color="auto" w:fill="FFFFFF"/>
        <w:spacing w:before="150" w:after="75"/>
        <w:jc w:val="both"/>
        <w:outlineLvl w:val="3"/>
        <w:rPr>
          <w:rFonts w:cs="Tahoma"/>
        </w:rPr>
      </w:pPr>
      <w:r w:rsidRPr="00662F03">
        <w:rPr>
          <w:rFonts w:cs="Tahoma"/>
        </w:rPr>
        <w:t>NORD Napędy Zakłady Produkcyjne w Nowej Soli należą do najnowocześniejszych fabryk koncernu Getriebebau NORD. Polska fabryka produkuje wały i koła zębate oraz prowadzi montaż i serwis napędów. Według danych ze strony internetowej przedsiębiorstwo na dzień 1 grudnia 2009 r. zatrudniało 89 pracowników.</w:t>
      </w:r>
    </w:p>
    <w:p w:rsidR="004E2B6F" w:rsidRPr="00662F03" w:rsidRDefault="004E2B6F" w:rsidP="00F71F0A">
      <w:pPr>
        <w:pStyle w:val="Akapitzlist"/>
        <w:numPr>
          <w:ilvl w:val="0"/>
          <w:numId w:val="31"/>
        </w:numPr>
        <w:shd w:val="clear" w:color="auto" w:fill="FFFFFF"/>
        <w:spacing w:before="150" w:after="75"/>
        <w:jc w:val="both"/>
        <w:outlineLvl w:val="3"/>
        <w:rPr>
          <w:rFonts w:cs="Tahoma"/>
        </w:rPr>
      </w:pPr>
      <w:r w:rsidRPr="00662F03">
        <w:rPr>
          <w:rFonts w:cs="Tahoma"/>
        </w:rPr>
        <w:t xml:space="preserve">Zastal Transport Sp. z o.o., to autoryzowany Partner MAN-STAR, stacja serwisowa w Nowej Soli została otwarta w 2009 r. Budowa siedziby w Nowej Soli została dofinansowana z funduszy unijnych w ramach Lubuskiego Regionalnego Programu Operacyjnego na lata 2007-2013. Zastal Transport zatrudnia ponad </w:t>
      </w:r>
      <w:r w:rsidR="00AC2CFD" w:rsidRPr="00662F03">
        <w:rPr>
          <w:rFonts w:cs="Tahoma"/>
        </w:rPr>
        <w:t>7</w:t>
      </w:r>
      <w:r w:rsidRPr="00662F03">
        <w:rPr>
          <w:rFonts w:cs="Tahoma"/>
        </w:rPr>
        <w:t>0 osób.</w:t>
      </w:r>
    </w:p>
    <w:p w:rsidR="00BA5926" w:rsidRPr="00662F03" w:rsidRDefault="00721A36" w:rsidP="00F71F0A">
      <w:pPr>
        <w:pStyle w:val="Akapitzlist"/>
        <w:numPr>
          <w:ilvl w:val="0"/>
          <w:numId w:val="31"/>
        </w:numPr>
        <w:shd w:val="clear" w:color="auto" w:fill="FFFFFF"/>
        <w:spacing w:before="150" w:after="75"/>
        <w:jc w:val="both"/>
        <w:outlineLvl w:val="3"/>
        <w:rPr>
          <w:rFonts w:cs="Tahoma"/>
        </w:rPr>
      </w:pPr>
      <w:r w:rsidRPr="00662F03">
        <w:rPr>
          <w:rFonts w:cs="Tahoma"/>
        </w:rPr>
        <w:t>AB Foods Polska Sp. z o.o. rozpoczęł</w:t>
      </w:r>
      <w:r w:rsidR="000E22A4">
        <w:rPr>
          <w:rFonts w:cs="Tahoma"/>
        </w:rPr>
        <w:t>a</w:t>
      </w:r>
      <w:r w:rsidRPr="00662F03">
        <w:rPr>
          <w:rFonts w:cs="Tahoma"/>
        </w:rPr>
        <w:t xml:space="preserve"> swoją działalność w Polsce na jesieni 2007 roku, kiedy to rozpoczęto budowę fabryki w Nowej Soli w specjalnej strefie ekonomicznej, wartą</w:t>
      </w:r>
      <w:r w:rsidR="003F53E6" w:rsidRPr="00662F03">
        <w:rPr>
          <w:rFonts w:cs="Tahoma"/>
        </w:rPr>
        <w:t xml:space="preserve"> 10 mln euro. Firma zatrudnia</w:t>
      </w:r>
      <w:r w:rsidR="000E22A4">
        <w:rPr>
          <w:rFonts w:cs="Tahoma"/>
        </w:rPr>
        <w:t xml:space="preserve"> około</w:t>
      </w:r>
      <w:r w:rsidRPr="00662F03">
        <w:rPr>
          <w:rFonts w:cs="Tahoma"/>
        </w:rPr>
        <w:t xml:space="preserve"> 170 osób.</w:t>
      </w:r>
    </w:p>
    <w:p w:rsidR="00721A36" w:rsidRPr="00662F03" w:rsidRDefault="00117EB2" w:rsidP="00F71F0A">
      <w:pPr>
        <w:pStyle w:val="Akapitzlist"/>
        <w:numPr>
          <w:ilvl w:val="0"/>
          <w:numId w:val="31"/>
        </w:numPr>
        <w:shd w:val="clear" w:color="auto" w:fill="FFFFFF"/>
        <w:spacing w:before="150" w:after="75"/>
        <w:jc w:val="both"/>
        <w:outlineLvl w:val="3"/>
        <w:rPr>
          <w:rFonts w:cs="Tahoma"/>
        </w:rPr>
      </w:pPr>
      <w:r w:rsidRPr="00662F03">
        <w:rPr>
          <w:rFonts w:cs="Tahoma"/>
        </w:rPr>
        <w:t>Firma VOIT POLSKA należy do międzynarodowej grupy, posiadającej zakłady na różnych kontynentach. Oddział w Polsce to innowacyjna odlewnia produkująca precyzyjne odlewy ciśnieniowe ze stopów aluminium. Fabryka została wybudowana docelowo z myślą o zatrudnieniu 250 osób.</w:t>
      </w:r>
    </w:p>
    <w:p w:rsidR="003F53E6" w:rsidRPr="00662F03" w:rsidRDefault="003F53E6" w:rsidP="00F71F0A">
      <w:pPr>
        <w:pStyle w:val="Akapitzlist"/>
        <w:numPr>
          <w:ilvl w:val="0"/>
          <w:numId w:val="31"/>
        </w:numPr>
        <w:shd w:val="clear" w:color="auto" w:fill="FFFFFF"/>
        <w:spacing w:before="150" w:after="75"/>
        <w:jc w:val="both"/>
        <w:outlineLvl w:val="3"/>
        <w:rPr>
          <w:rFonts w:cs="Tahoma"/>
        </w:rPr>
      </w:pPr>
      <w:r w:rsidRPr="00662F03">
        <w:rPr>
          <w:rFonts w:cs="Tahoma"/>
        </w:rPr>
        <w:t xml:space="preserve">JOST Sp. z o.o. znajdująca się w Nowej Soli to zakład, który stanowi cześć międzynarodowej grupy Jost obejmującej 15 zakładów na całym </w:t>
      </w:r>
      <w:r w:rsidR="007E4FC2" w:rsidRPr="00662F03">
        <w:rPr>
          <w:rFonts w:cs="Tahoma"/>
        </w:rPr>
        <w:t>ś</w:t>
      </w:r>
      <w:r w:rsidRPr="00662F03">
        <w:rPr>
          <w:rFonts w:cs="Tahoma"/>
        </w:rPr>
        <w:t xml:space="preserve">wiecie. Jest producentem </w:t>
      </w:r>
      <w:r w:rsidR="000E22A4">
        <w:rPr>
          <w:rFonts w:cs="Tahoma"/>
        </w:rPr>
        <w:t xml:space="preserve">m.in. </w:t>
      </w:r>
      <w:r w:rsidRPr="00662F03">
        <w:rPr>
          <w:rFonts w:cs="Tahoma"/>
        </w:rPr>
        <w:t>części do sprzęgów siodłowych, zaczepów holowniczych, dyszli przyczep, nóg podporowych. Firma planuje zatrudnić docelowo 150 osób.</w:t>
      </w:r>
    </w:p>
    <w:p w:rsidR="003F53E6" w:rsidRPr="00662F03" w:rsidRDefault="007E4FC2" w:rsidP="00F71F0A">
      <w:pPr>
        <w:pStyle w:val="Akapitzlist"/>
        <w:numPr>
          <w:ilvl w:val="0"/>
          <w:numId w:val="31"/>
        </w:numPr>
        <w:shd w:val="clear" w:color="auto" w:fill="FFFFFF"/>
        <w:spacing w:before="150" w:after="75"/>
        <w:jc w:val="both"/>
        <w:outlineLvl w:val="3"/>
        <w:rPr>
          <w:rFonts w:cs="Tahoma"/>
        </w:rPr>
      </w:pPr>
      <w:r w:rsidRPr="00662F03">
        <w:rPr>
          <w:rFonts w:cs="Tahoma"/>
        </w:rPr>
        <w:t>Spółka „</w:t>
      </w:r>
      <w:r w:rsidR="003F53E6" w:rsidRPr="00662F03">
        <w:rPr>
          <w:rFonts w:cs="Tahoma"/>
        </w:rPr>
        <w:t xml:space="preserve">JADIK" </w:t>
      </w:r>
      <w:r w:rsidR="00D551F9" w:rsidRPr="00662F03">
        <w:rPr>
          <w:rFonts w:cs="Tahoma"/>
        </w:rPr>
        <w:t xml:space="preserve">jest producentem oraz sprzedawcą mebli tapicerowanych. Spółka </w:t>
      </w:r>
      <w:r w:rsidR="003F53E6" w:rsidRPr="00662F03">
        <w:rPr>
          <w:rFonts w:cs="Tahoma"/>
        </w:rPr>
        <w:t>powstała w 1987 roku w Prz</w:t>
      </w:r>
      <w:r w:rsidR="00D551F9" w:rsidRPr="00662F03">
        <w:rPr>
          <w:rFonts w:cs="Tahoma"/>
        </w:rPr>
        <w:t>yborowie koło Nowej Soli</w:t>
      </w:r>
      <w:r w:rsidR="003F53E6" w:rsidRPr="00662F03">
        <w:rPr>
          <w:rFonts w:cs="Tahoma"/>
        </w:rPr>
        <w:t>.</w:t>
      </w:r>
      <w:r w:rsidR="00D551F9" w:rsidRPr="00662F03">
        <w:rPr>
          <w:rFonts w:cs="Tahoma"/>
        </w:rPr>
        <w:t xml:space="preserve"> Obecnie firma zatrudnia około 130 osób.</w:t>
      </w:r>
    </w:p>
    <w:p w:rsidR="003F53E6" w:rsidRPr="00662F03" w:rsidRDefault="003F53E6" w:rsidP="00F71F0A">
      <w:pPr>
        <w:pStyle w:val="Akapitzlist"/>
        <w:numPr>
          <w:ilvl w:val="0"/>
          <w:numId w:val="31"/>
        </w:numPr>
        <w:shd w:val="clear" w:color="auto" w:fill="FFFFFF"/>
        <w:spacing w:before="150" w:after="75"/>
        <w:jc w:val="both"/>
        <w:outlineLvl w:val="3"/>
        <w:rPr>
          <w:rFonts w:cs="Tahoma"/>
        </w:rPr>
      </w:pPr>
      <w:r w:rsidRPr="00662F03">
        <w:rPr>
          <w:rFonts w:cs="Tahoma"/>
        </w:rPr>
        <w:t xml:space="preserve">Funai Electric Polska to firma, która </w:t>
      </w:r>
      <w:r w:rsidR="000562E7" w:rsidRPr="00662F03">
        <w:rPr>
          <w:rFonts w:cs="Tahoma"/>
        </w:rPr>
        <w:t>w</w:t>
      </w:r>
      <w:r w:rsidRPr="00662F03">
        <w:rPr>
          <w:rFonts w:cs="Tahoma"/>
        </w:rPr>
        <w:t xml:space="preserve"> stycz</w:t>
      </w:r>
      <w:r w:rsidR="000562E7" w:rsidRPr="00662F03">
        <w:rPr>
          <w:rFonts w:cs="Tahoma"/>
        </w:rPr>
        <w:t>niu</w:t>
      </w:r>
      <w:r w:rsidRPr="00662F03">
        <w:rPr>
          <w:rFonts w:cs="Tahoma"/>
        </w:rPr>
        <w:t xml:space="preserve"> 2009 roku zatrudnia</w:t>
      </w:r>
      <w:r w:rsidR="000562E7" w:rsidRPr="00662F03">
        <w:rPr>
          <w:rFonts w:cs="Tahoma"/>
        </w:rPr>
        <w:t>ła</w:t>
      </w:r>
      <w:r w:rsidRPr="00662F03">
        <w:rPr>
          <w:rFonts w:cs="Tahoma"/>
        </w:rPr>
        <w:t xml:space="preserve"> około 260 osób. </w:t>
      </w:r>
      <w:r w:rsidR="00A85539" w:rsidRPr="00662F03">
        <w:rPr>
          <w:rFonts w:cs="Tahoma"/>
        </w:rPr>
        <w:t>Jest</w:t>
      </w:r>
      <w:r w:rsidRPr="00662F03">
        <w:rPr>
          <w:rFonts w:cs="Tahoma"/>
        </w:rPr>
        <w:t xml:space="preserve"> lider</w:t>
      </w:r>
      <w:r w:rsidR="00A85539" w:rsidRPr="00662F03">
        <w:rPr>
          <w:rFonts w:cs="Tahoma"/>
        </w:rPr>
        <w:t>em</w:t>
      </w:r>
      <w:r w:rsidRPr="00662F03">
        <w:rPr>
          <w:rFonts w:cs="Tahoma"/>
        </w:rPr>
        <w:t xml:space="preserve"> sprzedaży odtwarzaczy, nagrywarek DVD i telewizorów LCD i CRT.</w:t>
      </w:r>
    </w:p>
    <w:p w:rsidR="003F53E6" w:rsidRDefault="003F53E6" w:rsidP="00F71F0A">
      <w:pPr>
        <w:pStyle w:val="Akapitzlist"/>
        <w:numPr>
          <w:ilvl w:val="0"/>
          <w:numId w:val="31"/>
        </w:numPr>
        <w:shd w:val="clear" w:color="auto" w:fill="FFFFFF"/>
        <w:spacing w:before="150" w:after="75"/>
        <w:jc w:val="both"/>
        <w:outlineLvl w:val="3"/>
        <w:rPr>
          <w:rFonts w:cs="Tahoma"/>
        </w:rPr>
      </w:pPr>
      <w:r w:rsidRPr="00662F03">
        <w:rPr>
          <w:rFonts w:cs="Tahoma"/>
        </w:rPr>
        <w:t>BCC Polska Sp. z o.</w:t>
      </w:r>
      <w:r w:rsidR="000562E7" w:rsidRPr="00662F03">
        <w:rPr>
          <w:rFonts w:cs="Tahoma"/>
        </w:rPr>
        <w:t xml:space="preserve"> </w:t>
      </w:r>
      <w:r w:rsidRPr="00662F03">
        <w:rPr>
          <w:rFonts w:cs="Tahoma"/>
        </w:rPr>
        <w:t>o. to firma, która produkuje i sprzedaje pojazdy (samochody oraz przyczepy) wyposażone do sprzedaży bezpośredniej, pojazdy reklamowe, nadwozia wielkogabarytowe typu grand-volu</w:t>
      </w:r>
      <w:r w:rsidR="0039022D" w:rsidRPr="00662F03">
        <w:rPr>
          <w:rFonts w:cs="Tahoma"/>
        </w:rPr>
        <w:t>me oraz zabudowy izotermiczne. O</w:t>
      </w:r>
      <w:r w:rsidRPr="00662F03">
        <w:rPr>
          <w:rFonts w:cs="Tahoma"/>
        </w:rPr>
        <w:t xml:space="preserve">twarcie zakładu produkcyjnego w Nowej Soli odbyło się </w:t>
      </w:r>
      <w:r w:rsidR="000562E7" w:rsidRPr="00662F03">
        <w:rPr>
          <w:rFonts w:cs="Tahoma"/>
        </w:rPr>
        <w:t>w połowie</w:t>
      </w:r>
      <w:r w:rsidRPr="00662F03">
        <w:rPr>
          <w:rFonts w:cs="Tahoma"/>
        </w:rPr>
        <w:t xml:space="preserve"> 2006 r. Obecnie firma BCC Polska Sp. z o.o. zatrudnia </w:t>
      </w:r>
      <w:r w:rsidR="000562E7" w:rsidRPr="00662F03">
        <w:rPr>
          <w:rFonts w:cs="Tahoma"/>
        </w:rPr>
        <w:t xml:space="preserve">około </w:t>
      </w:r>
      <w:r w:rsidRPr="00662F03">
        <w:rPr>
          <w:rFonts w:cs="Tahoma"/>
        </w:rPr>
        <w:t>2</w:t>
      </w:r>
      <w:r w:rsidR="000562E7" w:rsidRPr="00662F03">
        <w:rPr>
          <w:rFonts w:cs="Tahoma"/>
        </w:rPr>
        <w:t>0</w:t>
      </w:r>
      <w:r w:rsidRPr="00662F03">
        <w:rPr>
          <w:rFonts w:cs="Tahoma"/>
        </w:rPr>
        <w:t xml:space="preserve"> pracowników.</w:t>
      </w:r>
    </w:p>
    <w:p w:rsidR="007801E8" w:rsidRPr="007801E8" w:rsidRDefault="007801E8" w:rsidP="007801E8">
      <w:pPr>
        <w:shd w:val="clear" w:color="auto" w:fill="FFFFFF"/>
        <w:spacing w:before="150" w:after="75"/>
        <w:jc w:val="both"/>
        <w:outlineLvl w:val="3"/>
        <w:rPr>
          <w:rFonts w:asciiTheme="minorHAnsi" w:hAnsiTheme="minorHAnsi" w:cs="Tahoma"/>
          <w:sz w:val="22"/>
        </w:rPr>
      </w:pPr>
    </w:p>
    <w:p w:rsidR="00F6768C" w:rsidRPr="00662F03" w:rsidRDefault="005433B6" w:rsidP="00F6768C">
      <w:pPr>
        <w:shd w:val="clear" w:color="auto" w:fill="FFFFFF"/>
        <w:spacing w:before="150" w:after="75"/>
        <w:jc w:val="both"/>
        <w:outlineLvl w:val="3"/>
        <w:rPr>
          <w:rFonts w:ascii="Calibri" w:hAnsi="Calibri" w:cs="Tahoma"/>
          <w:sz w:val="20"/>
          <w:szCs w:val="22"/>
        </w:rPr>
      </w:pPr>
      <w:r w:rsidRPr="005433B6">
        <w:rPr>
          <w:rFonts w:ascii="Calibri" w:hAnsi="Calibri"/>
        </w:rPr>
      </w:r>
      <w:r w:rsidR="00072369" w:rsidRPr="005433B6">
        <w:rPr>
          <w:rFonts w:ascii="Calibri" w:hAnsi="Calibri"/>
        </w:rPr>
        <w:pict>
          <v:roundrect id="_x0000_s1054"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54;mso-fit-shape-to-text:t" inset=",,36pt,18pt">
              <w:txbxContent>
                <w:p w:rsidR="00D24064" w:rsidRPr="00EC0E96" w:rsidRDefault="00D24064" w:rsidP="00F6768C">
                  <w:pPr>
                    <w:rPr>
                      <w:rFonts w:ascii="Calibri" w:hAnsi="Calibri" w:cs="Calibri"/>
                      <w:i/>
                      <w:iCs/>
                      <w:shadow/>
                      <w:color w:val="7F7F7F"/>
                      <w:sz w:val="28"/>
                      <w:szCs w:val="32"/>
                    </w:rPr>
                  </w:pPr>
                  <w:r w:rsidRPr="00EC0E96">
                    <w:rPr>
                      <w:rFonts w:ascii="Calibri" w:hAnsi="Calibri" w:cs="Calibri"/>
                      <w:i/>
                      <w:iCs/>
                      <w:shadow/>
                      <w:color w:val="7F7F7F"/>
                      <w:sz w:val="28"/>
                      <w:szCs w:val="32"/>
                    </w:rPr>
                    <w:t>Zdaniem opinii publicznej</w:t>
                  </w:r>
                </w:p>
              </w:txbxContent>
            </v:textbox>
            <w10:wrap type="none" anchorx="page" anchory="margin"/>
            <w10:anchorlock/>
          </v:roundrect>
        </w:pict>
      </w:r>
    </w:p>
    <w:p w:rsidR="00E54F5E" w:rsidRPr="00662F03" w:rsidRDefault="00E54F5E" w:rsidP="00E54F5E">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Zdecydowana większość mieszkańców miasta (89%) w ocenie ważonej twierdzi, że znalezienie lub zmiana pracy w mieście i najbliższej okolicy jest trudne. Oznacza to, że obywatele zaliczają tę sferę do słabych stron miasta. Wskazują jednocześnie, że łatwość lub trudność w znalezieniu pracy ma dla nich znaczenie wyższe niż inne czynniki.</w:t>
      </w:r>
    </w:p>
    <w:p w:rsidR="00E54F5E" w:rsidRPr="00662F03" w:rsidRDefault="00E54F5E" w:rsidP="00E54F5E">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Kobiety częściej niż mężczyźni twierdziły, że w mieście i najbliższej okolicy trudno jest znaleźć lub zmienić pracę, co może oznaczać, że generalnie ich sytuacja na rynku pracy w mieście jest trudniejsza niż mężczyzn. Łatwość znalezienia pracy w mieście i okolicy wzrasta wraz z wykształceniem, choć należy zaznaczyć, że również mieszkańcy z wyższym wykształceniem w zdecydowanej większości (85%) twierdzą, że jest tu trudno znaleźć pracę. Dla nich jednocześnie trudność lub łatwość w znale</w:t>
      </w:r>
      <w:r w:rsidR="006E3D2E">
        <w:rPr>
          <w:rFonts w:ascii="Calibri" w:hAnsi="Calibri" w:cs="Tahoma"/>
          <w:shadow/>
          <w:color w:val="808080"/>
          <w:sz w:val="22"/>
        </w:rPr>
        <w:t>zieniu pracy jest najmniej ważnym czynnikiem</w:t>
      </w:r>
      <w:r w:rsidRPr="00662F03">
        <w:rPr>
          <w:rFonts w:ascii="Calibri" w:hAnsi="Calibri" w:cs="Tahoma"/>
          <w:shadow/>
          <w:color w:val="808080"/>
          <w:sz w:val="22"/>
        </w:rPr>
        <w:t>. Najważniejsze jest to dla osób z wykształceniem średnim lub policealnym. Łatwość znalezienia pracy wzrasta również wraz z wiekiem. Najgorzej tę sferę oceniają ludzie młodzi i dla nich jednocześnie trudność lub łatwość w znalezien</w:t>
      </w:r>
      <w:r w:rsidR="006E3D2E">
        <w:rPr>
          <w:rFonts w:ascii="Calibri" w:hAnsi="Calibri" w:cs="Tahoma"/>
          <w:shadow/>
          <w:color w:val="808080"/>
          <w:sz w:val="22"/>
        </w:rPr>
        <w:t>iu pracy jest najbardziej ważna.</w:t>
      </w:r>
    </w:p>
    <w:p w:rsidR="00E54F5E" w:rsidRPr="00662F03" w:rsidRDefault="00E54F5E" w:rsidP="00E54F5E">
      <w:pPr>
        <w:shd w:val="clear" w:color="auto" w:fill="FFFFFF"/>
        <w:spacing w:before="150" w:after="75"/>
        <w:jc w:val="both"/>
        <w:outlineLvl w:val="3"/>
        <w:rPr>
          <w:rFonts w:ascii="Calibri" w:hAnsi="Calibri" w:cs="Tahoma"/>
          <w:shadow/>
          <w:color w:val="808080"/>
          <w:sz w:val="22"/>
        </w:rPr>
      </w:pPr>
      <w:r w:rsidRPr="00662F03">
        <w:rPr>
          <w:rFonts w:ascii="Calibri" w:hAnsi="Calibri" w:cs="Tahoma"/>
          <w:b/>
          <w:shadow/>
          <w:color w:val="808080"/>
          <w:sz w:val="22"/>
        </w:rPr>
        <w:t>Wnioski:</w:t>
      </w:r>
      <w:r w:rsidRPr="00662F03">
        <w:rPr>
          <w:rFonts w:ascii="Calibri" w:hAnsi="Calibri" w:cs="Tahoma"/>
          <w:shadow/>
          <w:color w:val="808080"/>
          <w:sz w:val="22"/>
        </w:rPr>
        <w:t xml:space="preserve"> Popyt jakościowy lub/i ilościowy </w:t>
      </w:r>
      <w:r w:rsidR="00D93614">
        <w:rPr>
          <w:rFonts w:ascii="Calibri" w:hAnsi="Calibri" w:cs="Tahoma"/>
          <w:shadow/>
          <w:color w:val="808080"/>
          <w:sz w:val="22"/>
        </w:rPr>
        <w:t xml:space="preserve">na miejsca pracy </w:t>
      </w:r>
      <w:r w:rsidRPr="00662F03">
        <w:rPr>
          <w:rFonts w:ascii="Calibri" w:hAnsi="Calibri" w:cs="Tahoma"/>
          <w:shadow/>
          <w:color w:val="808080"/>
          <w:sz w:val="22"/>
        </w:rPr>
        <w:t xml:space="preserve">w mieście jest niezaspokojony i kwestia ta powinna być traktowana w planowaniu strategicznym jako jedna z najważniejszych, zarówno ze względu na ocenę tej sfery wyrażaną przez mieszkańców, jak i ze względu na złożoność tego problemu i fakt, że na rozwiązanie problemów związanych </w:t>
      </w:r>
      <w:r w:rsidR="000562E7" w:rsidRPr="00662F03">
        <w:rPr>
          <w:rFonts w:ascii="Calibri" w:hAnsi="Calibri" w:cs="Tahoma"/>
          <w:shadow/>
          <w:color w:val="808080"/>
          <w:sz w:val="22"/>
        </w:rPr>
        <w:t xml:space="preserve">z </w:t>
      </w:r>
      <w:r w:rsidRPr="00662F03">
        <w:rPr>
          <w:rFonts w:ascii="Calibri" w:hAnsi="Calibri" w:cs="Tahoma"/>
          <w:shadow/>
          <w:color w:val="808080"/>
          <w:sz w:val="22"/>
        </w:rPr>
        <w:t>niezaspokojonym popytem na pracę wpływa bardzo wiele czynników z różnych dziedzin życia i działalności gminy. Problem z dostępem do pracy dotyczy wszystkich grup wiekowych oraz osób z różnym wykształceniem, jednak szczególną uwagę należy zwrócić na ludzi młodych oraz osoby z niższym wykształceniem.</w:t>
      </w:r>
    </w:p>
    <w:p w:rsidR="00614BF3" w:rsidRPr="00AD4624" w:rsidRDefault="000562E7" w:rsidP="00AD4624">
      <w:pPr>
        <w:pStyle w:val="Legenda"/>
        <w:spacing w:before="240"/>
        <w:rPr>
          <w:rFonts w:ascii="Calibri" w:hAnsi="Calibri" w:cs="Tahoma"/>
          <w:b w:val="0"/>
          <w:color w:val="808080"/>
          <w:szCs w:val="22"/>
        </w:rPr>
      </w:pPr>
      <w:bookmarkStart w:id="17" w:name="_Toc315790476"/>
      <w:r w:rsidRPr="00AD4624">
        <w:rPr>
          <w:rFonts w:ascii="Calibri" w:hAnsi="Calibri"/>
          <w:b w:val="0"/>
          <w:sz w:val="18"/>
        </w:rPr>
        <w:t xml:space="preserve">Wykres </w:t>
      </w:r>
      <w:r w:rsidR="005433B6" w:rsidRPr="00AD4624">
        <w:rPr>
          <w:rFonts w:ascii="Calibri" w:hAnsi="Calibri"/>
          <w:b w:val="0"/>
          <w:sz w:val="18"/>
        </w:rPr>
        <w:fldChar w:fldCharType="begin"/>
      </w:r>
      <w:r w:rsidRPr="00AD4624">
        <w:rPr>
          <w:rFonts w:ascii="Calibri" w:hAnsi="Calibri"/>
          <w:b w:val="0"/>
          <w:sz w:val="18"/>
        </w:rPr>
        <w:instrText xml:space="preserve"> SEQ Wykres \* ARABIC </w:instrText>
      </w:r>
      <w:r w:rsidR="005433B6" w:rsidRPr="00AD4624">
        <w:rPr>
          <w:rFonts w:ascii="Calibri" w:hAnsi="Calibri"/>
          <w:b w:val="0"/>
          <w:sz w:val="18"/>
        </w:rPr>
        <w:fldChar w:fldCharType="separate"/>
      </w:r>
      <w:r w:rsidR="00D377D1" w:rsidRPr="00AD4624">
        <w:rPr>
          <w:rFonts w:ascii="Calibri" w:hAnsi="Calibri"/>
          <w:b w:val="0"/>
          <w:noProof/>
          <w:sz w:val="18"/>
        </w:rPr>
        <w:t>7</w:t>
      </w:r>
      <w:r w:rsidR="005433B6" w:rsidRPr="00AD4624">
        <w:rPr>
          <w:rFonts w:ascii="Calibri" w:hAnsi="Calibri"/>
          <w:b w:val="0"/>
          <w:sz w:val="18"/>
        </w:rPr>
        <w:fldChar w:fldCharType="end"/>
      </w:r>
      <w:r w:rsidRPr="00AD4624">
        <w:rPr>
          <w:rFonts w:ascii="Calibri" w:hAnsi="Calibri"/>
          <w:b w:val="0"/>
          <w:sz w:val="18"/>
        </w:rPr>
        <w:t>.</w:t>
      </w:r>
      <w:r w:rsidR="00AD4624" w:rsidRPr="00AD4624">
        <w:rPr>
          <w:sz w:val="18"/>
        </w:rPr>
        <w:t xml:space="preserve"> </w:t>
      </w:r>
      <w:r w:rsidR="00AD4624" w:rsidRPr="00AD4624">
        <w:rPr>
          <w:rFonts w:ascii="Calibri" w:hAnsi="Calibri"/>
          <w:b w:val="0"/>
          <w:sz w:val="18"/>
        </w:rPr>
        <w:t>Rozkład odpowiedzi na pytanie, czy mieszkańcy zgadzają się z twierdzeniem, że w Nowej Soli lub w najbliższej okolicy łatwo mogą znaleźć lub zmienić pracę.</w:t>
      </w:r>
      <w:bookmarkEnd w:id="17"/>
    </w:p>
    <w:p w:rsidR="00E54F5E" w:rsidRPr="00662F03" w:rsidRDefault="005B1628" w:rsidP="00662F03">
      <w:pPr>
        <w:jc w:val="center"/>
        <w:rPr>
          <w:rFonts w:ascii="Calibri" w:hAnsi="Calibri"/>
        </w:rPr>
      </w:pPr>
      <w:r>
        <w:rPr>
          <w:rFonts w:ascii="Calibri" w:hAnsi="Calibri"/>
          <w:noProof/>
        </w:rPr>
        <w:drawing>
          <wp:inline distT="0" distB="0" distL="0" distR="0">
            <wp:extent cx="4662554" cy="2811399"/>
            <wp:effectExtent l="12192" t="6096" r="3299" b="0"/>
            <wp:docPr id="9"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B5E76" w:rsidRPr="00AD4624" w:rsidRDefault="002B5E76" w:rsidP="002B5E76">
      <w:pPr>
        <w:jc w:val="both"/>
        <w:rPr>
          <w:rFonts w:ascii="Calibri" w:hAnsi="Calibri" w:cs="Calibri"/>
          <w:noProof/>
          <w:sz w:val="18"/>
          <w:szCs w:val="20"/>
        </w:rPr>
      </w:pPr>
      <w:r w:rsidRPr="00AD4624">
        <w:rPr>
          <w:rFonts w:ascii="Calibri" w:hAnsi="Calibri" w:cs="Calibri"/>
          <w:noProof/>
          <w:sz w:val="18"/>
          <w:szCs w:val="20"/>
        </w:rPr>
        <w:t>Źródło: opracowanie własne na podstawie wyników badań ankietowych.</w:t>
      </w:r>
    </w:p>
    <w:p w:rsidR="002B5E76" w:rsidRPr="00AD4624" w:rsidRDefault="00295383" w:rsidP="002B5E76">
      <w:pPr>
        <w:pStyle w:val="Legenda"/>
        <w:rPr>
          <w:rFonts w:ascii="Calibri" w:hAnsi="Calibri"/>
          <w:b w:val="0"/>
          <w:sz w:val="18"/>
        </w:rPr>
      </w:pPr>
      <w:r>
        <w:rPr>
          <w:rFonts w:ascii="Calibri" w:hAnsi="Calibri"/>
          <w:b w:val="0"/>
          <w:bCs w:val="0"/>
          <w:sz w:val="24"/>
          <w:szCs w:val="24"/>
        </w:rPr>
        <w:br w:type="page"/>
      </w:r>
      <w:bookmarkStart w:id="18" w:name="_Toc315790477"/>
      <w:r w:rsidR="002B5E76" w:rsidRPr="00AD4624">
        <w:rPr>
          <w:rFonts w:ascii="Calibri" w:hAnsi="Calibri"/>
          <w:b w:val="0"/>
          <w:sz w:val="18"/>
        </w:rPr>
        <w:lastRenderedPageBreak/>
        <w:t xml:space="preserve">Wykres </w:t>
      </w:r>
      <w:r w:rsidR="005433B6" w:rsidRPr="00AD4624">
        <w:rPr>
          <w:rFonts w:ascii="Calibri" w:hAnsi="Calibri"/>
          <w:b w:val="0"/>
          <w:sz w:val="18"/>
        </w:rPr>
        <w:fldChar w:fldCharType="begin"/>
      </w:r>
      <w:r w:rsidR="002B5E76" w:rsidRPr="00AD4624">
        <w:rPr>
          <w:rFonts w:ascii="Calibri" w:hAnsi="Calibri"/>
          <w:b w:val="0"/>
          <w:sz w:val="18"/>
        </w:rPr>
        <w:instrText xml:space="preserve"> SEQ Wykres \* ARABIC </w:instrText>
      </w:r>
      <w:r w:rsidR="005433B6" w:rsidRPr="00AD4624">
        <w:rPr>
          <w:rFonts w:ascii="Calibri" w:hAnsi="Calibri"/>
          <w:b w:val="0"/>
          <w:sz w:val="18"/>
        </w:rPr>
        <w:fldChar w:fldCharType="separate"/>
      </w:r>
      <w:r w:rsidR="00D377D1" w:rsidRPr="00AD4624">
        <w:rPr>
          <w:rFonts w:ascii="Calibri" w:hAnsi="Calibri"/>
          <w:b w:val="0"/>
          <w:noProof/>
          <w:sz w:val="18"/>
        </w:rPr>
        <w:t>8</w:t>
      </w:r>
      <w:r w:rsidR="005433B6" w:rsidRPr="00AD4624">
        <w:rPr>
          <w:rFonts w:ascii="Calibri" w:hAnsi="Calibri"/>
          <w:b w:val="0"/>
          <w:sz w:val="18"/>
        </w:rPr>
        <w:fldChar w:fldCharType="end"/>
      </w:r>
      <w:r w:rsidR="002B5E76" w:rsidRPr="00AD4624">
        <w:rPr>
          <w:rFonts w:ascii="Calibri" w:hAnsi="Calibri"/>
          <w:b w:val="0"/>
          <w:sz w:val="18"/>
        </w:rPr>
        <w:t>.</w:t>
      </w:r>
      <w:r w:rsidR="00AD4624" w:rsidRPr="00AD4624">
        <w:rPr>
          <w:rFonts w:ascii="Calibri" w:hAnsi="Calibri"/>
          <w:b w:val="0"/>
          <w:sz w:val="18"/>
        </w:rPr>
        <w:t xml:space="preserve"> Średnia oceny, czy łatwość lub trudność w znalezieniu pracy w mieście ma znaczenie w atrakcyjności miasta jako miejsca zamieszkania.</w:t>
      </w:r>
      <w:bookmarkEnd w:id="18"/>
    </w:p>
    <w:p w:rsidR="00E54F5E" w:rsidRPr="00662F03" w:rsidRDefault="005B1628" w:rsidP="00662F03">
      <w:pPr>
        <w:jc w:val="center"/>
        <w:rPr>
          <w:rFonts w:ascii="Calibri" w:hAnsi="Calibri"/>
        </w:rPr>
      </w:pPr>
      <w:r>
        <w:rPr>
          <w:rFonts w:ascii="Calibri" w:hAnsi="Calibri"/>
          <w:noProof/>
        </w:rPr>
        <w:drawing>
          <wp:inline distT="0" distB="0" distL="0" distR="0">
            <wp:extent cx="4540119" cy="2779533"/>
            <wp:effectExtent l="12192" t="6096" r="8894" b="116"/>
            <wp:docPr id="10"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6768C" w:rsidRPr="00AD4624" w:rsidRDefault="002B5E76" w:rsidP="002B5E76">
      <w:pPr>
        <w:jc w:val="both"/>
        <w:rPr>
          <w:rFonts w:ascii="Calibri" w:hAnsi="Calibri" w:cs="Calibri"/>
          <w:noProof/>
          <w:sz w:val="18"/>
          <w:szCs w:val="20"/>
        </w:rPr>
      </w:pPr>
      <w:r w:rsidRPr="00AD4624">
        <w:rPr>
          <w:rFonts w:ascii="Calibri" w:hAnsi="Calibri" w:cs="Calibri"/>
          <w:noProof/>
          <w:sz w:val="18"/>
          <w:szCs w:val="20"/>
        </w:rPr>
        <w:t>Źródło: opracowanie własne na podstawie wyników badań ankietowych.</w:t>
      </w:r>
    </w:p>
    <w:p w:rsidR="00337F94" w:rsidRDefault="00337F94" w:rsidP="002637F4">
      <w:pPr>
        <w:shd w:val="clear" w:color="auto" w:fill="FFFFFF"/>
        <w:spacing w:before="150" w:after="75"/>
        <w:jc w:val="both"/>
        <w:outlineLvl w:val="3"/>
        <w:rPr>
          <w:rFonts w:ascii="Calibri" w:hAnsi="Calibri" w:cs="Tahoma"/>
          <w:sz w:val="22"/>
          <w:szCs w:val="22"/>
        </w:rPr>
      </w:pPr>
    </w:p>
    <w:p w:rsidR="00073B83" w:rsidRPr="00662F03" w:rsidRDefault="00073B83" w:rsidP="00A85539">
      <w:pPr>
        <w:numPr>
          <w:ilvl w:val="1"/>
          <w:numId w:val="1"/>
        </w:numPr>
        <w:jc w:val="both"/>
        <w:rPr>
          <w:rFonts w:ascii="Calibri" w:hAnsi="Calibri" w:cs="Calibri"/>
          <w:b/>
          <w:i/>
          <w:color w:val="17365D"/>
          <w:sz w:val="22"/>
          <w:szCs w:val="20"/>
        </w:rPr>
      </w:pPr>
      <w:r w:rsidRPr="00662F03">
        <w:rPr>
          <w:rFonts w:ascii="Calibri" w:hAnsi="Calibri" w:cs="Calibri"/>
          <w:b/>
          <w:i/>
          <w:color w:val="17365D"/>
          <w:sz w:val="22"/>
          <w:szCs w:val="20"/>
        </w:rPr>
        <w:t>Bezrobocie</w:t>
      </w:r>
    </w:p>
    <w:p w:rsidR="00337F94" w:rsidRDefault="00073B83" w:rsidP="0029538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danych Wojewódzkiego Urzędu Pracy na koniec 2010 roku w Nowej Soli bez pracy pozostawało ponad 3 tys. osób, czyli 40% wszystkich bezrobotnych powiatu nowosolskiego i 5% ogółu bezrobotnych w Lubuskiem. Ponad połowę stanowiły kobiety (55%). Do roku 2008 liczba bezrobotnych znacznie spadała, jednak kryzys gospodarczy w negatywny sposób odbił się na rynku pracy i w 2009 r. nastąpił gwałtowny wzrost liczby osób pozostających bez pracy.</w:t>
      </w:r>
    </w:p>
    <w:p w:rsidR="00073B83" w:rsidRPr="00AD4624" w:rsidRDefault="00073B83" w:rsidP="00073B83">
      <w:pPr>
        <w:pStyle w:val="Legenda"/>
        <w:rPr>
          <w:rFonts w:ascii="Calibri" w:hAnsi="Calibri"/>
          <w:b w:val="0"/>
        </w:rPr>
      </w:pPr>
      <w:bookmarkStart w:id="19" w:name="_Toc315790478"/>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9</w:t>
      </w:r>
      <w:r w:rsidR="005433B6" w:rsidRPr="00662F03">
        <w:rPr>
          <w:rFonts w:ascii="Calibri" w:hAnsi="Calibri"/>
          <w:b w:val="0"/>
        </w:rPr>
        <w:fldChar w:fldCharType="end"/>
      </w:r>
      <w:r w:rsidRPr="00662F03">
        <w:rPr>
          <w:rFonts w:ascii="Calibri" w:hAnsi="Calibri"/>
          <w:b w:val="0"/>
        </w:rPr>
        <w:t>.</w:t>
      </w:r>
      <w:r w:rsidR="00AD4624">
        <w:rPr>
          <w:rFonts w:ascii="Calibri" w:hAnsi="Calibri"/>
          <w:b w:val="0"/>
        </w:rPr>
        <w:t xml:space="preserve"> </w:t>
      </w:r>
      <w:r w:rsidR="00AD4624" w:rsidRPr="00AD4624">
        <w:rPr>
          <w:rFonts w:ascii="Calibri" w:hAnsi="Calibri"/>
          <w:b w:val="0"/>
        </w:rPr>
        <w:t>Liczba osób bezrobotnych w Nowej Soli w latach 2003-2010</w:t>
      </w:r>
      <w:r w:rsidR="00AD4624">
        <w:rPr>
          <w:rFonts w:ascii="Calibri" w:hAnsi="Calibri"/>
          <w:b w:val="0"/>
        </w:rPr>
        <w:t>.</w:t>
      </w:r>
      <w:bookmarkEnd w:id="19"/>
    </w:p>
    <w:p w:rsidR="00073B83" w:rsidRPr="00662F03" w:rsidRDefault="005B1628" w:rsidP="00073B83">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4638159" cy="3034029"/>
            <wp:effectExtent l="19050" t="0" r="10041" b="0"/>
            <wp:docPr id="11"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3B83" w:rsidRPr="00662F03" w:rsidRDefault="00073B83" w:rsidP="00073B83">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073B83" w:rsidRPr="00662F03" w:rsidRDefault="00073B83" w:rsidP="00073B83">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W 2010 r. co czwarta osoba bezrobotna była w wieku powyżej 50 roku życia. Osoby długotrwale bezrobotn</w:t>
      </w:r>
      <w:r w:rsidR="00C474FC" w:rsidRPr="00662F03">
        <w:rPr>
          <w:rFonts w:ascii="Calibri" w:hAnsi="Calibri" w:cs="Tahoma"/>
          <w:sz w:val="22"/>
          <w:szCs w:val="22"/>
        </w:rPr>
        <w:t>e</w:t>
      </w:r>
      <w:r w:rsidRPr="00662F03">
        <w:rPr>
          <w:rFonts w:ascii="Calibri" w:hAnsi="Calibri" w:cs="Tahoma"/>
          <w:sz w:val="22"/>
          <w:szCs w:val="22"/>
        </w:rPr>
        <w:t xml:space="preserve"> stanowiły </w:t>
      </w:r>
      <w:r w:rsidR="00DB6C44" w:rsidRPr="00662F03">
        <w:rPr>
          <w:rFonts w:ascii="Calibri" w:hAnsi="Calibri" w:cs="Tahoma"/>
          <w:sz w:val="22"/>
          <w:szCs w:val="22"/>
        </w:rPr>
        <w:t xml:space="preserve">prawie </w:t>
      </w:r>
      <w:r w:rsidRPr="00662F03">
        <w:rPr>
          <w:rFonts w:ascii="Calibri" w:hAnsi="Calibri" w:cs="Tahoma"/>
          <w:sz w:val="22"/>
          <w:szCs w:val="22"/>
        </w:rPr>
        <w:t>połowę wszystkich osób bezrobotnych w mieście (w 2009 r. 40%), natomia</w:t>
      </w:r>
      <w:r w:rsidR="00EC1007">
        <w:rPr>
          <w:rFonts w:ascii="Calibri" w:hAnsi="Calibri" w:cs="Tahoma"/>
          <w:sz w:val="22"/>
          <w:szCs w:val="22"/>
        </w:rPr>
        <w:t>st co czwarty bezrobotny nie po</w:t>
      </w:r>
      <w:r w:rsidRPr="00662F03">
        <w:rPr>
          <w:rFonts w:ascii="Calibri" w:hAnsi="Calibri" w:cs="Tahoma"/>
          <w:sz w:val="22"/>
          <w:szCs w:val="22"/>
        </w:rPr>
        <w:t>siadał kwalifikacji zawodowych. Na koniec 2010 r. prawie</w:t>
      </w:r>
      <w:r w:rsidR="00337F94">
        <w:rPr>
          <w:rFonts w:ascii="Calibri" w:hAnsi="Calibri" w:cs="Tahoma"/>
          <w:sz w:val="22"/>
          <w:szCs w:val="22"/>
        </w:rPr>
        <w:t xml:space="preserve"> ¾ osób </w:t>
      </w:r>
      <w:r w:rsidRPr="00662F03">
        <w:rPr>
          <w:rFonts w:ascii="Calibri" w:hAnsi="Calibri" w:cs="Tahoma"/>
          <w:sz w:val="22"/>
          <w:szCs w:val="22"/>
        </w:rPr>
        <w:t>spośród bezrobotnych nie posiadał</w:t>
      </w:r>
      <w:r w:rsidR="00337F94">
        <w:rPr>
          <w:rFonts w:ascii="Calibri" w:hAnsi="Calibri" w:cs="Tahoma"/>
          <w:sz w:val="22"/>
          <w:szCs w:val="22"/>
        </w:rPr>
        <w:t>o</w:t>
      </w:r>
      <w:r w:rsidRPr="00662F03">
        <w:rPr>
          <w:rFonts w:ascii="Calibri" w:hAnsi="Calibri" w:cs="Tahoma"/>
          <w:sz w:val="22"/>
          <w:szCs w:val="22"/>
        </w:rPr>
        <w:t xml:space="preserve"> prawa do zasiłku.</w:t>
      </w:r>
    </w:p>
    <w:p w:rsidR="00535277" w:rsidRPr="00662F03" w:rsidRDefault="00535277" w:rsidP="00535277">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Na koniec 2009 r. osoby bezrobotne zarejestrowane w Urzędzie Pr</w:t>
      </w:r>
      <w:r w:rsidR="00C474FC" w:rsidRPr="00662F03">
        <w:rPr>
          <w:rFonts w:ascii="Calibri" w:hAnsi="Calibri" w:cs="Tahoma"/>
          <w:sz w:val="22"/>
          <w:szCs w:val="22"/>
        </w:rPr>
        <w:t>acy stanowiły niewiele ponad 12</w:t>
      </w:r>
      <w:r w:rsidRPr="00662F03">
        <w:rPr>
          <w:rFonts w:ascii="Calibri" w:hAnsi="Calibri" w:cs="Tahoma"/>
          <w:sz w:val="22"/>
          <w:szCs w:val="22"/>
        </w:rPr>
        <w:t xml:space="preserve">% osób w wieku produkcyjnym. To zdecydowanie więcej niż w przypadku Polski i województwa lubuskiego. </w:t>
      </w:r>
      <w:r w:rsidR="00C474FC" w:rsidRPr="00662F03">
        <w:rPr>
          <w:rFonts w:ascii="Calibri" w:hAnsi="Calibri" w:cs="Tahoma"/>
          <w:sz w:val="22"/>
          <w:szCs w:val="22"/>
        </w:rPr>
        <w:t>Przeprowadzona</w:t>
      </w:r>
      <w:r w:rsidRPr="00662F03">
        <w:rPr>
          <w:rFonts w:ascii="Calibri" w:hAnsi="Calibri" w:cs="Tahoma"/>
          <w:sz w:val="22"/>
          <w:szCs w:val="22"/>
        </w:rPr>
        <w:t xml:space="preserve"> analiz</w:t>
      </w:r>
      <w:r w:rsidR="00C474FC" w:rsidRPr="00662F03">
        <w:rPr>
          <w:rFonts w:ascii="Calibri" w:hAnsi="Calibri" w:cs="Tahoma"/>
          <w:sz w:val="22"/>
          <w:szCs w:val="22"/>
        </w:rPr>
        <w:t>a</w:t>
      </w:r>
      <w:r w:rsidRPr="00662F03">
        <w:rPr>
          <w:rFonts w:ascii="Calibri" w:hAnsi="Calibri" w:cs="Tahoma"/>
          <w:sz w:val="22"/>
          <w:szCs w:val="22"/>
        </w:rPr>
        <w:t xml:space="preserve"> wskaźnika dla 50 miast</w:t>
      </w:r>
      <w:r w:rsidR="00C474FC" w:rsidRPr="00662F03">
        <w:rPr>
          <w:rFonts w:ascii="Calibri" w:hAnsi="Calibri" w:cs="Tahoma"/>
          <w:sz w:val="22"/>
          <w:szCs w:val="22"/>
        </w:rPr>
        <w:t xml:space="preserve"> o podobnej liczbie mieszkańców</w:t>
      </w:r>
      <w:r w:rsidRPr="00662F03">
        <w:rPr>
          <w:rFonts w:ascii="Calibri" w:hAnsi="Calibri" w:cs="Tahoma"/>
          <w:sz w:val="22"/>
          <w:szCs w:val="22"/>
        </w:rPr>
        <w:t xml:space="preserve"> </w:t>
      </w:r>
      <w:r w:rsidR="00C474FC" w:rsidRPr="00662F03">
        <w:rPr>
          <w:rFonts w:ascii="Calibri" w:hAnsi="Calibri" w:cs="Tahoma"/>
          <w:sz w:val="22"/>
          <w:szCs w:val="22"/>
        </w:rPr>
        <w:t>wskazuje</w:t>
      </w:r>
      <w:r w:rsidRPr="00662F03">
        <w:rPr>
          <w:rFonts w:ascii="Calibri" w:hAnsi="Calibri" w:cs="Tahoma"/>
          <w:sz w:val="22"/>
          <w:szCs w:val="22"/>
        </w:rPr>
        <w:t>, że Nowa Sól plasuje się na drugim miejscu. Średnia wskaźnika dla miast (wy</w:t>
      </w:r>
      <w:r w:rsidR="00C474FC" w:rsidRPr="00662F03">
        <w:rPr>
          <w:rFonts w:ascii="Calibri" w:hAnsi="Calibri" w:cs="Tahoma"/>
          <w:sz w:val="22"/>
          <w:szCs w:val="22"/>
        </w:rPr>
        <w:t>łączając Nową Sól) wyniosła 7,9</w:t>
      </w:r>
      <w:r w:rsidRPr="00662F03">
        <w:rPr>
          <w:rFonts w:ascii="Calibri" w:hAnsi="Calibri" w:cs="Tahoma"/>
          <w:sz w:val="22"/>
          <w:szCs w:val="22"/>
        </w:rPr>
        <w:t>%.</w:t>
      </w:r>
    </w:p>
    <w:p w:rsidR="00535277" w:rsidRPr="006A1ADF" w:rsidRDefault="006D7B09" w:rsidP="006D7B09">
      <w:pPr>
        <w:pStyle w:val="Legenda"/>
        <w:rPr>
          <w:rFonts w:ascii="Calibri" w:hAnsi="Calibri"/>
        </w:rPr>
      </w:pPr>
      <w:bookmarkStart w:id="20" w:name="_Toc315790479"/>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10</w:t>
      </w:r>
      <w:r w:rsidR="005433B6" w:rsidRPr="00662F03">
        <w:rPr>
          <w:rFonts w:ascii="Calibri" w:hAnsi="Calibri"/>
          <w:b w:val="0"/>
        </w:rPr>
        <w:fldChar w:fldCharType="end"/>
      </w:r>
      <w:r w:rsidRPr="00662F03">
        <w:rPr>
          <w:rFonts w:ascii="Calibri" w:hAnsi="Calibri"/>
          <w:b w:val="0"/>
        </w:rPr>
        <w:t>.</w:t>
      </w:r>
      <w:r w:rsidR="006A1ADF">
        <w:rPr>
          <w:rFonts w:ascii="Calibri" w:hAnsi="Calibri"/>
          <w:b w:val="0"/>
        </w:rPr>
        <w:t xml:space="preserve"> </w:t>
      </w:r>
      <w:r w:rsidR="006A1ADF" w:rsidRPr="006A1ADF">
        <w:rPr>
          <w:rFonts w:ascii="Calibri" w:hAnsi="Calibri"/>
          <w:b w:val="0"/>
        </w:rPr>
        <w:t>Udział bezrobotnych zarejestrowanych w liczbie ludności w wieku produkcyjnym w 2009 r. - Nowa Sól na tle kraju, województwa, powiatu oraz wybranych miast o podobnej wielkości .</w:t>
      </w:r>
      <w:bookmarkEnd w:id="20"/>
    </w:p>
    <w:p w:rsidR="00535277" w:rsidRPr="00662F03" w:rsidRDefault="005B1628" w:rsidP="00535277">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4944124" cy="2434856"/>
            <wp:effectExtent l="19050" t="0" r="27926" b="3544"/>
            <wp:docPr id="12"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73B83" w:rsidRPr="00662F03" w:rsidRDefault="00535277" w:rsidP="002637F4">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CF3278" w:rsidRDefault="008D1455" w:rsidP="002637F4">
      <w:pPr>
        <w:shd w:val="clear" w:color="auto" w:fill="FFFFFF"/>
        <w:spacing w:after="75"/>
        <w:jc w:val="both"/>
        <w:outlineLvl w:val="3"/>
        <w:rPr>
          <w:rFonts w:ascii="Calibri" w:hAnsi="Calibri" w:cs="Tahoma"/>
          <w:sz w:val="22"/>
          <w:szCs w:val="22"/>
        </w:rPr>
      </w:pPr>
      <w:r w:rsidRPr="00FA3B45">
        <w:rPr>
          <w:rFonts w:ascii="Calibri" w:hAnsi="Calibri" w:cs="Tahoma"/>
          <w:sz w:val="22"/>
          <w:szCs w:val="22"/>
        </w:rPr>
        <w:t>Według raportu końcowego „Badanie pracodawców powiatu nowosolskiego"</w:t>
      </w:r>
      <w:r w:rsidR="00E26FF1" w:rsidRPr="00FA3B45">
        <w:rPr>
          <w:rStyle w:val="Odwoanieprzypisudolnego"/>
          <w:rFonts w:ascii="Calibri" w:hAnsi="Calibri" w:cs="Tahoma"/>
          <w:sz w:val="22"/>
          <w:szCs w:val="22"/>
        </w:rPr>
        <w:footnoteReference w:id="4"/>
      </w:r>
      <w:r w:rsidRPr="00FA3B45">
        <w:rPr>
          <w:rFonts w:ascii="Calibri" w:hAnsi="Calibri" w:cs="Tahoma"/>
          <w:sz w:val="22"/>
          <w:szCs w:val="22"/>
        </w:rPr>
        <w:t xml:space="preserve"> wielu pracodawców ma trudności ze znalezieniem pracownika na lokalnym rynku pracy.</w:t>
      </w:r>
      <w:r w:rsidR="00E26FF1" w:rsidRPr="00FA3B45">
        <w:rPr>
          <w:rFonts w:ascii="Calibri" w:hAnsi="Calibri" w:cs="Tahoma"/>
          <w:sz w:val="22"/>
          <w:szCs w:val="22"/>
        </w:rPr>
        <w:t xml:space="preserve"> Wynika to głównie z braku odpowiednich kwalifikacji i przygotowania zawodowego. Tylko około ⅓ pracodawców potwierdza, że kierunki kształcenia oraz przygotowanie zawodowe absolwentów szkół wyższych i średnich jest zgodne z potrzebami rynku pracy.</w:t>
      </w:r>
    </w:p>
    <w:p w:rsidR="00FA3B45" w:rsidRPr="00FA3B45" w:rsidRDefault="00FA3B45" w:rsidP="002637F4">
      <w:pPr>
        <w:shd w:val="clear" w:color="auto" w:fill="FFFFFF"/>
        <w:spacing w:after="75"/>
        <w:jc w:val="both"/>
        <w:outlineLvl w:val="3"/>
        <w:rPr>
          <w:rFonts w:ascii="Calibri" w:hAnsi="Calibri" w:cs="Tahoma"/>
          <w:sz w:val="22"/>
          <w:szCs w:val="22"/>
        </w:rPr>
      </w:pPr>
    </w:p>
    <w:p w:rsidR="006F223E" w:rsidRPr="00662F03" w:rsidRDefault="005433B6" w:rsidP="002637F4">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53"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53;mso-fit-shape-to-text:t" inset="28.8pt,7.2pt,14.4pt,28.8pt">
              <w:txbxContent>
                <w:p w:rsidR="00D24064" w:rsidRPr="00EC0E96" w:rsidRDefault="00D24064" w:rsidP="00DB4C88">
                  <w:pPr>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 xml:space="preserve">Pomimo wzrostu liczby pracujących utrzymuje się wysoki poziom bezrobocia, w szczególności wśród kobiet. </w:t>
                  </w:r>
                  <w:r w:rsidRPr="00EC0E96">
                    <w:rPr>
                      <w:rFonts w:ascii="Calibri" w:hAnsi="Calibri"/>
                      <w:bCs/>
                      <w:i/>
                      <w:iCs/>
                      <w:color w:val="1F497D"/>
                      <w:sz w:val="22"/>
                      <w:szCs w:val="28"/>
                    </w:rPr>
                    <w:t>Zaobserwowanym problemem jest niedostateczne dostosowanie kwalifikacji zasobów pracy do potrzeb rynku pracy.</w:t>
                  </w:r>
                  <w:r>
                    <w:rPr>
                      <w:rFonts w:ascii="Calibri" w:hAnsi="Calibri"/>
                      <w:bCs/>
                      <w:i/>
                      <w:iCs/>
                      <w:color w:val="1F497D"/>
                      <w:sz w:val="22"/>
                      <w:szCs w:val="28"/>
                    </w:rPr>
                    <w:t xml:space="preserve"> Znalezienie lub zmiana pracy w mieście i najbliższej okolicy jest zdaniem mieszkańców trudne.</w:t>
                  </w:r>
                </w:p>
                <w:p w:rsidR="00D24064" w:rsidRPr="0008207A" w:rsidRDefault="00D24064" w:rsidP="00DB4C88">
                  <w:pPr>
                    <w:jc w:val="both"/>
                    <w:rPr>
                      <w:rFonts w:ascii="Calibri" w:hAnsi="Calibri"/>
                      <w:i/>
                      <w:iCs/>
                      <w:color w:val="1F497D"/>
                      <w:sz w:val="22"/>
                      <w:szCs w:val="28"/>
                    </w:rPr>
                  </w:pPr>
                  <w:r w:rsidRPr="00EC0E96">
                    <w:rPr>
                      <w:rFonts w:ascii="Calibri" w:hAnsi="Calibri"/>
                      <w:i/>
                      <w:iCs/>
                      <w:color w:val="1F497D"/>
                      <w:sz w:val="22"/>
                      <w:szCs w:val="28"/>
                    </w:rPr>
                    <w:t>Utrzymuje się wysoki udział bezrobotnych zarejestrowanych w liczbie ludności w wieku produkcyjnym w stosunku do innych miast w woj</w:t>
                  </w:r>
                  <w:r>
                    <w:rPr>
                      <w:rFonts w:ascii="Calibri" w:hAnsi="Calibri"/>
                      <w:i/>
                      <w:iCs/>
                      <w:color w:val="1F497D"/>
                      <w:sz w:val="22"/>
                      <w:szCs w:val="28"/>
                    </w:rPr>
                    <w:t>ewództwie i średniej dla kraju.</w:t>
                  </w:r>
                </w:p>
              </w:txbxContent>
            </v:textbox>
            <w10:wrap type="none" anchorx="margin" anchory="page"/>
            <w10:anchorlock/>
          </v:rect>
        </w:pict>
      </w:r>
    </w:p>
    <w:p w:rsidR="00FA3B45" w:rsidRDefault="00FA3B45">
      <w:pPr>
        <w:rPr>
          <w:rFonts w:ascii="Calibri" w:hAnsi="Calibri" w:cs="Tahoma"/>
          <w:sz w:val="22"/>
          <w:szCs w:val="22"/>
        </w:rPr>
      </w:pPr>
      <w:bookmarkStart w:id="21" w:name="_Toc285111445"/>
      <w:bookmarkStart w:id="22" w:name="_Toc285111476"/>
      <w:bookmarkEnd w:id="21"/>
      <w:bookmarkEnd w:id="22"/>
      <w:r>
        <w:rPr>
          <w:rFonts w:ascii="Calibri" w:hAnsi="Calibri" w:cs="Tahoma"/>
          <w:b/>
          <w:bCs/>
          <w:sz w:val="22"/>
          <w:szCs w:val="22"/>
        </w:rPr>
        <w:br w:type="page"/>
      </w:r>
    </w:p>
    <w:p w:rsidR="007B67D9" w:rsidRPr="00337F94" w:rsidRDefault="007B67D9" w:rsidP="004E5A9A">
      <w:pPr>
        <w:pStyle w:val="Nagwek1"/>
        <w:numPr>
          <w:ilvl w:val="0"/>
          <w:numId w:val="1"/>
        </w:numPr>
        <w:rPr>
          <w:rFonts w:ascii="Calibri" w:hAnsi="Calibri"/>
          <w:color w:val="17365D"/>
          <w:sz w:val="24"/>
        </w:rPr>
      </w:pPr>
      <w:bookmarkStart w:id="23" w:name="_Toc316395255"/>
      <w:r w:rsidRPr="00662F03">
        <w:rPr>
          <w:rFonts w:ascii="Calibri" w:hAnsi="Calibri"/>
          <w:color w:val="17365D"/>
          <w:sz w:val="24"/>
        </w:rPr>
        <w:lastRenderedPageBreak/>
        <w:t>Ogólna charakterystyka gminy</w:t>
      </w:r>
      <w:bookmarkEnd w:id="23"/>
    </w:p>
    <w:p w:rsidR="00270B39" w:rsidRPr="00662F03" w:rsidRDefault="003451FE" w:rsidP="007F5FC1">
      <w:pPr>
        <w:pStyle w:val="Nagwek2"/>
        <w:numPr>
          <w:ilvl w:val="1"/>
          <w:numId w:val="1"/>
        </w:numPr>
        <w:spacing w:line="240" w:lineRule="auto"/>
        <w:rPr>
          <w:rFonts w:ascii="Calibri" w:hAnsi="Calibri"/>
          <w:color w:val="17365D"/>
          <w:sz w:val="22"/>
          <w:szCs w:val="22"/>
        </w:rPr>
      </w:pPr>
      <w:bookmarkStart w:id="24" w:name="_Toc316395256"/>
      <w:r w:rsidRPr="00662F03">
        <w:rPr>
          <w:rFonts w:ascii="Calibri" w:hAnsi="Calibri"/>
          <w:color w:val="17365D"/>
          <w:sz w:val="22"/>
          <w:szCs w:val="22"/>
        </w:rPr>
        <w:t>Oświata i informatyzacja</w:t>
      </w:r>
      <w:bookmarkEnd w:id="24"/>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w roku 2009 instytucjonalną opiekę nad małymi dziećmi zapewniało 9 ogólnodostępnych placówek przedszkolnych (wszystkie publiczne) prowadzonych przez Miasto Nowa Sól. Łącznie wychowaniem przedszkolnym objętych</w:t>
      </w:r>
      <w:r w:rsidR="001D220D" w:rsidRPr="00662F03">
        <w:rPr>
          <w:rFonts w:ascii="Calibri" w:hAnsi="Calibri" w:cs="Tahoma"/>
          <w:sz w:val="22"/>
          <w:szCs w:val="22"/>
        </w:rPr>
        <w:t xml:space="preserve"> </w:t>
      </w:r>
      <w:r w:rsidRPr="00662F03">
        <w:rPr>
          <w:rFonts w:ascii="Calibri" w:hAnsi="Calibri" w:cs="Tahoma"/>
          <w:sz w:val="22"/>
          <w:szCs w:val="22"/>
        </w:rPr>
        <w:t xml:space="preserve">było 1 081 dzieci. Wskaźnik wykorzystania miejsc w przedszkolach w roku 2009 utrzymywał się na poziomie 103%. Wskazuje to, że liczba miejsc dla dzieci w przedszkolach nie jest wystarczająca i świadczy o przepełnieniu tych jednostek. Może to wpływać na warunki pracy i komfort uczęszczania </w:t>
      </w:r>
      <w:r w:rsidR="006B347D" w:rsidRPr="00662F03">
        <w:rPr>
          <w:rFonts w:ascii="Calibri" w:hAnsi="Calibri" w:cs="Tahoma"/>
          <w:sz w:val="22"/>
          <w:szCs w:val="22"/>
        </w:rPr>
        <w:t>do tych placówek. W przyszłości</w:t>
      </w:r>
      <w:r w:rsidRPr="00662F03">
        <w:rPr>
          <w:rFonts w:ascii="Calibri" w:hAnsi="Calibri" w:cs="Tahoma"/>
          <w:sz w:val="22"/>
          <w:szCs w:val="22"/>
        </w:rPr>
        <w:t xml:space="preserve"> w przypadku dalszego wzrostu zainteresowania mi</w:t>
      </w:r>
      <w:r w:rsidR="006B347D" w:rsidRPr="00662F03">
        <w:rPr>
          <w:rFonts w:ascii="Calibri" w:hAnsi="Calibri" w:cs="Tahoma"/>
          <w:sz w:val="22"/>
          <w:szCs w:val="22"/>
        </w:rPr>
        <w:t>ejscami w przedszkolach m</w:t>
      </w:r>
      <w:r w:rsidR="001D220D" w:rsidRPr="00662F03">
        <w:rPr>
          <w:rFonts w:ascii="Calibri" w:hAnsi="Calibri" w:cs="Tahoma"/>
          <w:sz w:val="22"/>
          <w:szCs w:val="22"/>
        </w:rPr>
        <w:t>iasto</w:t>
      </w:r>
      <w:r w:rsidRPr="00662F03">
        <w:rPr>
          <w:rFonts w:ascii="Calibri" w:hAnsi="Calibri" w:cs="Tahoma"/>
          <w:sz w:val="22"/>
          <w:szCs w:val="22"/>
        </w:rPr>
        <w:t xml:space="preserve"> może nie być przygotowan</w:t>
      </w:r>
      <w:r w:rsidR="006B347D" w:rsidRPr="00662F03">
        <w:rPr>
          <w:rFonts w:ascii="Calibri" w:hAnsi="Calibri" w:cs="Tahoma"/>
          <w:sz w:val="22"/>
          <w:szCs w:val="22"/>
        </w:rPr>
        <w:t>e</w:t>
      </w:r>
      <w:r w:rsidRPr="00662F03">
        <w:rPr>
          <w:rFonts w:ascii="Calibri" w:hAnsi="Calibri" w:cs="Tahoma"/>
          <w:sz w:val="22"/>
          <w:szCs w:val="22"/>
        </w:rPr>
        <w:t xml:space="preserve"> na taką sytuację.</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System edukacji szkolnej w Nowej Soli w roku 2009 obejmował 27 szkół (ze szkołami specjalnymi oraz artystycznymi) na poziomie podstawowym, gimnazjalnym, średnim i policealnym, do których uc</w:t>
      </w:r>
      <w:r w:rsidR="006B347D" w:rsidRPr="00662F03">
        <w:rPr>
          <w:rFonts w:ascii="Calibri" w:hAnsi="Calibri" w:cs="Tahoma"/>
          <w:sz w:val="22"/>
          <w:szCs w:val="22"/>
        </w:rPr>
        <w:t>zęszczało ponad 6,7 tys. dzieci i</w:t>
      </w:r>
      <w:r w:rsidRPr="00662F03">
        <w:rPr>
          <w:rFonts w:ascii="Calibri" w:hAnsi="Calibri" w:cs="Tahoma"/>
          <w:sz w:val="22"/>
          <w:szCs w:val="22"/>
        </w:rPr>
        <w:t xml:space="preserve"> młodzieży oraz 9 szkół dla dorosłych, w których kształciło się ponad 800 osób. Znaczną część kształcącej się młodzieży stanowią uczniowie szkół podstawowych - 34% (2 322), Zgodnie z ogólnymi zaleceniami Ministra Edukacji Narodowej średnia liczebność w oddziałach szkół podstawowych wynosi prawie 23 osoby (na zalecane nie więcej niż 26) i od 2003 roku pozostaje na zbliżonym poziomie. Pozostałą część kształcącej się młodzieży stanowią w 12% uczniowie szkół licealnych ogólnokształcących, w 18% uczniowie techników. Co piąty uczeń kształci się w gimnazjum (1 573), natomiast zaledwie 7% stanowią uczniowie zasadniczych szkół zawodowych. Z kolei wśród wszystkich kształcących się w Nowej Soli, 12% uczęszcza do szkół dla dorosłych, z tego 40% stanowi szkolnictwo policealne.</w:t>
      </w:r>
    </w:p>
    <w:p w:rsidR="006E4C3C" w:rsidRPr="00662F03" w:rsidRDefault="006E4C3C" w:rsidP="004E5A9A">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 xml:space="preserve">Placówki szkolne i przedszkolne są prawidłowo rozmieszczone na terenie miasta. </w:t>
      </w:r>
      <w:r w:rsidR="0064655B">
        <w:rPr>
          <w:rFonts w:ascii="Calibri" w:hAnsi="Calibri" w:cs="Tahoma"/>
          <w:bCs/>
          <w:sz w:val="22"/>
          <w:szCs w:val="22"/>
        </w:rPr>
        <w:t>Trzy</w:t>
      </w:r>
      <w:r w:rsidRPr="00662F03">
        <w:rPr>
          <w:rFonts w:ascii="Calibri" w:hAnsi="Calibri" w:cs="Tahoma"/>
          <w:bCs/>
          <w:sz w:val="22"/>
          <w:szCs w:val="22"/>
        </w:rPr>
        <w:t xml:space="preserve"> szkoły podstawowe znajdują się na terenie ścisłego śródmieścia, </w:t>
      </w:r>
      <w:r w:rsidR="0064655B">
        <w:rPr>
          <w:rFonts w:ascii="Calibri" w:hAnsi="Calibri" w:cs="Tahoma"/>
          <w:bCs/>
          <w:sz w:val="22"/>
          <w:szCs w:val="22"/>
        </w:rPr>
        <w:t>jedna</w:t>
      </w:r>
      <w:r w:rsidRPr="00662F03">
        <w:rPr>
          <w:rFonts w:ascii="Calibri" w:hAnsi="Calibri" w:cs="Tahoma"/>
          <w:bCs/>
          <w:sz w:val="22"/>
          <w:szCs w:val="22"/>
        </w:rPr>
        <w:t xml:space="preserve"> szkoła </w:t>
      </w:r>
      <w:r w:rsidR="0064655B">
        <w:rPr>
          <w:rFonts w:ascii="Calibri" w:hAnsi="Calibri" w:cs="Tahoma"/>
          <w:bCs/>
          <w:sz w:val="22"/>
          <w:szCs w:val="22"/>
        </w:rPr>
        <w:t xml:space="preserve">jest </w:t>
      </w:r>
      <w:r w:rsidRPr="00662F03">
        <w:rPr>
          <w:rFonts w:ascii="Calibri" w:hAnsi="Calibri" w:cs="Tahoma"/>
          <w:bCs/>
          <w:sz w:val="22"/>
          <w:szCs w:val="22"/>
        </w:rPr>
        <w:t xml:space="preserve">na Zatorzu oraz </w:t>
      </w:r>
      <w:r w:rsidR="0064655B">
        <w:rPr>
          <w:rFonts w:ascii="Calibri" w:hAnsi="Calibri" w:cs="Tahoma"/>
          <w:bCs/>
          <w:sz w:val="22"/>
          <w:szCs w:val="22"/>
        </w:rPr>
        <w:t xml:space="preserve">dwie </w:t>
      </w:r>
      <w:r w:rsidRPr="00662F03">
        <w:rPr>
          <w:rFonts w:ascii="Calibri" w:hAnsi="Calibri" w:cs="Tahoma"/>
          <w:bCs/>
          <w:sz w:val="22"/>
          <w:szCs w:val="22"/>
        </w:rPr>
        <w:t>szkoły</w:t>
      </w:r>
      <w:r w:rsidR="0064655B">
        <w:rPr>
          <w:rFonts w:ascii="Calibri" w:hAnsi="Calibri" w:cs="Tahoma"/>
          <w:bCs/>
          <w:sz w:val="22"/>
          <w:szCs w:val="22"/>
        </w:rPr>
        <w:t xml:space="preserve"> są zlokalizowane na peryferiach miasta</w:t>
      </w:r>
      <w:r w:rsidRPr="00662F03">
        <w:rPr>
          <w:rFonts w:ascii="Calibri" w:hAnsi="Calibri" w:cs="Tahoma"/>
          <w:bCs/>
          <w:sz w:val="22"/>
          <w:szCs w:val="22"/>
        </w:rPr>
        <w:t xml:space="preserve"> </w:t>
      </w:r>
      <w:r w:rsidR="0064655B">
        <w:rPr>
          <w:rFonts w:ascii="Calibri" w:hAnsi="Calibri" w:cs="Tahoma"/>
          <w:bCs/>
          <w:sz w:val="22"/>
          <w:szCs w:val="22"/>
        </w:rPr>
        <w:t>(w szkołach tych</w:t>
      </w:r>
      <w:r w:rsidRPr="00662F03">
        <w:rPr>
          <w:rFonts w:ascii="Calibri" w:hAnsi="Calibri" w:cs="Tahoma"/>
          <w:bCs/>
          <w:sz w:val="22"/>
          <w:szCs w:val="22"/>
        </w:rPr>
        <w:t xml:space="preserve"> jest relatywnie niska liczba uczniów w oddziałach, co wpływa na wysokie koszty utrzymania</w:t>
      </w:r>
      <w:r w:rsidR="0064655B">
        <w:rPr>
          <w:rFonts w:ascii="Calibri" w:hAnsi="Calibri" w:cs="Tahoma"/>
          <w:bCs/>
          <w:sz w:val="22"/>
          <w:szCs w:val="22"/>
        </w:rPr>
        <w:t>)</w:t>
      </w:r>
      <w:r w:rsidRPr="00662F03">
        <w:rPr>
          <w:rFonts w:ascii="Calibri" w:hAnsi="Calibri" w:cs="Tahoma"/>
          <w:bCs/>
          <w:sz w:val="22"/>
          <w:szCs w:val="22"/>
        </w:rPr>
        <w:t>. Jedna ze szkół ze ścisłego śródmieścia to szkoła integracyjna. Także 3 gimnazja znajdujące się na terenie miasta są prawidłowo rozmieszczone.</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stosunkowo dobrze rozwinięta jest sieć k</w:t>
      </w:r>
      <w:r w:rsidR="0064655B">
        <w:rPr>
          <w:rFonts w:ascii="Calibri" w:hAnsi="Calibri" w:cs="Tahoma"/>
          <w:sz w:val="22"/>
          <w:szCs w:val="22"/>
        </w:rPr>
        <w:t>ształcenia profilowanego i</w:t>
      </w:r>
      <w:r w:rsidRPr="00662F03">
        <w:rPr>
          <w:rFonts w:ascii="Calibri" w:hAnsi="Calibri" w:cs="Tahoma"/>
          <w:sz w:val="22"/>
          <w:szCs w:val="22"/>
        </w:rPr>
        <w:t xml:space="preserve"> zawodowego</w:t>
      </w:r>
      <w:r w:rsidR="0064655B">
        <w:rPr>
          <w:rFonts w:ascii="Calibri" w:hAnsi="Calibri" w:cs="Tahoma"/>
          <w:sz w:val="22"/>
          <w:szCs w:val="22"/>
        </w:rPr>
        <w:t>.</w:t>
      </w:r>
      <w:r w:rsidRPr="00662F03">
        <w:rPr>
          <w:rFonts w:ascii="Calibri" w:hAnsi="Calibri" w:cs="Tahoma"/>
          <w:sz w:val="22"/>
          <w:szCs w:val="22"/>
        </w:rPr>
        <w:t xml:space="preserve"> </w:t>
      </w:r>
      <w:r w:rsidR="0064655B">
        <w:rPr>
          <w:rFonts w:ascii="Calibri" w:hAnsi="Calibri" w:cs="Tahoma"/>
          <w:sz w:val="22"/>
          <w:szCs w:val="22"/>
        </w:rPr>
        <w:t>U</w:t>
      </w:r>
      <w:r w:rsidRPr="00662F03">
        <w:rPr>
          <w:rFonts w:ascii="Calibri" w:hAnsi="Calibri" w:cs="Tahoma"/>
          <w:sz w:val="22"/>
          <w:szCs w:val="22"/>
        </w:rPr>
        <w:t xml:space="preserve">czniowie mają do dyspozycji: ZSP nr 1 „Elektryk” </w:t>
      </w:r>
      <w:r w:rsidR="0064655B">
        <w:rPr>
          <w:rFonts w:ascii="Calibri" w:hAnsi="Calibri" w:cs="Tahoma"/>
          <w:sz w:val="22"/>
          <w:szCs w:val="22"/>
        </w:rPr>
        <w:t>(</w:t>
      </w:r>
      <w:r w:rsidRPr="00662F03">
        <w:rPr>
          <w:rFonts w:ascii="Calibri" w:hAnsi="Calibri" w:cs="Tahoma"/>
          <w:sz w:val="22"/>
          <w:szCs w:val="22"/>
        </w:rPr>
        <w:t xml:space="preserve">z technikum kształcącym </w:t>
      </w:r>
      <w:r w:rsidR="0064655B">
        <w:rPr>
          <w:rFonts w:ascii="Calibri" w:hAnsi="Calibri" w:cs="Tahoma"/>
          <w:sz w:val="22"/>
          <w:szCs w:val="22"/>
        </w:rPr>
        <w:t>na</w:t>
      </w:r>
      <w:r w:rsidRPr="00662F03">
        <w:rPr>
          <w:rFonts w:ascii="Calibri" w:hAnsi="Calibri" w:cs="Tahoma"/>
          <w:sz w:val="22"/>
          <w:szCs w:val="22"/>
        </w:rPr>
        <w:t xml:space="preserve"> kierunkach elektryk, informatyk, teleinformatyk, mechatronik</w:t>
      </w:r>
      <w:r w:rsidR="0064655B">
        <w:rPr>
          <w:rFonts w:ascii="Calibri" w:hAnsi="Calibri" w:cs="Tahoma"/>
          <w:sz w:val="22"/>
          <w:szCs w:val="22"/>
        </w:rPr>
        <w:t>)</w:t>
      </w:r>
      <w:r w:rsidRPr="00662F03">
        <w:rPr>
          <w:rFonts w:ascii="Calibri" w:hAnsi="Calibri" w:cs="Tahoma"/>
          <w:sz w:val="22"/>
          <w:szCs w:val="22"/>
        </w:rPr>
        <w:t xml:space="preserve">, ZSP nr 2 </w:t>
      </w:r>
      <w:r w:rsidR="0064655B">
        <w:rPr>
          <w:rFonts w:ascii="Calibri" w:hAnsi="Calibri" w:cs="Tahoma"/>
          <w:sz w:val="22"/>
          <w:szCs w:val="22"/>
        </w:rPr>
        <w:t>(</w:t>
      </w:r>
      <w:r w:rsidRPr="00662F03">
        <w:rPr>
          <w:rFonts w:ascii="Calibri" w:hAnsi="Calibri" w:cs="Tahoma"/>
          <w:sz w:val="22"/>
          <w:szCs w:val="22"/>
        </w:rPr>
        <w:t xml:space="preserve">z m.in. technikum kształcącym </w:t>
      </w:r>
      <w:r w:rsidR="0064655B">
        <w:rPr>
          <w:rFonts w:ascii="Calibri" w:hAnsi="Calibri" w:cs="Tahoma"/>
          <w:sz w:val="22"/>
          <w:szCs w:val="22"/>
        </w:rPr>
        <w:t>na</w:t>
      </w:r>
      <w:r w:rsidRPr="00662F03">
        <w:rPr>
          <w:rFonts w:ascii="Calibri" w:hAnsi="Calibri" w:cs="Tahoma"/>
          <w:sz w:val="22"/>
          <w:szCs w:val="22"/>
        </w:rPr>
        <w:t xml:space="preserve"> kierunkach technik technologii odzieży</w:t>
      </w:r>
      <w:r w:rsidR="0064655B">
        <w:rPr>
          <w:rFonts w:ascii="Calibri" w:hAnsi="Calibri" w:cs="Tahoma"/>
          <w:sz w:val="22"/>
          <w:szCs w:val="22"/>
        </w:rPr>
        <w:t>)</w:t>
      </w:r>
      <w:r w:rsidRPr="00662F03">
        <w:rPr>
          <w:rFonts w:ascii="Calibri" w:hAnsi="Calibri" w:cs="Tahoma"/>
          <w:sz w:val="22"/>
          <w:szCs w:val="22"/>
        </w:rPr>
        <w:t xml:space="preserve"> oraz liceum profilowane </w:t>
      </w:r>
      <w:r w:rsidR="0064655B">
        <w:rPr>
          <w:rFonts w:ascii="Calibri" w:hAnsi="Calibri" w:cs="Tahoma"/>
          <w:sz w:val="22"/>
          <w:szCs w:val="22"/>
        </w:rPr>
        <w:t>(</w:t>
      </w:r>
      <w:r w:rsidRPr="00662F03">
        <w:rPr>
          <w:rFonts w:ascii="Calibri" w:hAnsi="Calibri" w:cs="Tahoma"/>
          <w:sz w:val="22"/>
          <w:szCs w:val="22"/>
        </w:rPr>
        <w:t>z kierunkiem kreowanie ubiorów</w:t>
      </w:r>
      <w:r w:rsidR="0064655B">
        <w:rPr>
          <w:rFonts w:ascii="Calibri" w:hAnsi="Calibri" w:cs="Tahoma"/>
          <w:sz w:val="22"/>
          <w:szCs w:val="22"/>
        </w:rPr>
        <w:t>)</w:t>
      </w:r>
      <w:r w:rsidRPr="00662F03">
        <w:rPr>
          <w:rFonts w:ascii="Calibri" w:hAnsi="Calibri" w:cs="Tahoma"/>
          <w:sz w:val="22"/>
          <w:szCs w:val="22"/>
        </w:rPr>
        <w:t xml:space="preserve">, ZSP nr 3 z dawnym Technikum Odlewniczym </w:t>
      </w:r>
      <w:r w:rsidR="0064655B">
        <w:rPr>
          <w:rFonts w:ascii="Calibri" w:hAnsi="Calibri" w:cs="Tahoma"/>
          <w:sz w:val="22"/>
          <w:szCs w:val="22"/>
        </w:rPr>
        <w:t>(</w:t>
      </w:r>
      <w:r w:rsidRPr="00662F03">
        <w:rPr>
          <w:rFonts w:ascii="Calibri" w:hAnsi="Calibri" w:cs="Tahoma"/>
          <w:sz w:val="22"/>
          <w:szCs w:val="22"/>
        </w:rPr>
        <w:t>kształci mechaników, konstruktorów, budowniczych</w:t>
      </w:r>
      <w:r w:rsidR="0064655B">
        <w:rPr>
          <w:rFonts w:ascii="Calibri" w:hAnsi="Calibri" w:cs="Tahoma"/>
          <w:sz w:val="22"/>
          <w:szCs w:val="22"/>
        </w:rPr>
        <w:t>)</w:t>
      </w:r>
      <w:r w:rsidRPr="00662F03">
        <w:rPr>
          <w:rFonts w:ascii="Calibri" w:hAnsi="Calibri" w:cs="Tahoma"/>
          <w:sz w:val="22"/>
          <w:szCs w:val="22"/>
        </w:rPr>
        <w:t xml:space="preserve">, ZSP nr 4 z technikum </w:t>
      </w:r>
      <w:r w:rsidR="0064655B">
        <w:rPr>
          <w:rFonts w:ascii="Calibri" w:hAnsi="Calibri" w:cs="Tahoma"/>
          <w:sz w:val="22"/>
          <w:szCs w:val="22"/>
        </w:rPr>
        <w:t>(</w:t>
      </w:r>
      <w:r w:rsidRPr="00662F03">
        <w:rPr>
          <w:rFonts w:ascii="Calibri" w:hAnsi="Calibri" w:cs="Tahoma"/>
          <w:sz w:val="22"/>
          <w:szCs w:val="22"/>
        </w:rPr>
        <w:t>kształcącym</w:t>
      </w:r>
      <w:r w:rsidR="0064655B">
        <w:rPr>
          <w:rFonts w:ascii="Calibri" w:hAnsi="Calibri" w:cs="Tahoma"/>
          <w:sz w:val="22"/>
          <w:szCs w:val="22"/>
        </w:rPr>
        <w:t xml:space="preserve"> na kierunkach</w:t>
      </w:r>
      <w:r w:rsidRPr="00662F03">
        <w:rPr>
          <w:rFonts w:ascii="Calibri" w:hAnsi="Calibri" w:cs="Tahoma"/>
          <w:sz w:val="22"/>
          <w:szCs w:val="22"/>
        </w:rPr>
        <w:t xml:space="preserve"> architektur</w:t>
      </w:r>
      <w:r w:rsidR="0064655B">
        <w:rPr>
          <w:rFonts w:ascii="Calibri" w:hAnsi="Calibri" w:cs="Tahoma"/>
          <w:sz w:val="22"/>
          <w:szCs w:val="22"/>
        </w:rPr>
        <w:t>a</w:t>
      </w:r>
      <w:r w:rsidRPr="00662F03">
        <w:rPr>
          <w:rFonts w:ascii="Calibri" w:hAnsi="Calibri" w:cs="Tahoma"/>
          <w:sz w:val="22"/>
          <w:szCs w:val="22"/>
        </w:rPr>
        <w:t xml:space="preserve"> krajobrazu, usług</w:t>
      </w:r>
      <w:r w:rsidR="0064655B">
        <w:rPr>
          <w:rFonts w:ascii="Calibri" w:hAnsi="Calibri" w:cs="Tahoma"/>
          <w:sz w:val="22"/>
          <w:szCs w:val="22"/>
        </w:rPr>
        <w:t>i</w:t>
      </w:r>
      <w:r w:rsidRPr="00662F03">
        <w:rPr>
          <w:rFonts w:ascii="Calibri" w:hAnsi="Calibri" w:cs="Tahoma"/>
          <w:sz w:val="22"/>
          <w:szCs w:val="22"/>
        </w:rPr>
        <w:t xml:space="preserve"> hotelarski</w:t>
      </w:r>
      <w:r w:rsidR="0064655B">
        <w:rPr>
          <w:rFonts w:ascii="Calibri" w:hAnsi="Calibri" w:cs="Tahoma"/>
          <w:sz w:val="22"/>
          <w:szCs w:val="22"/>
        </w:rPr>
        <w:t>e</w:t>
      </w:r>
      <w:r w:rsidRPr="00662F03">
        <w:rPr>
          <w:rFonts w:ascii="Calibri" w:hAnsi="Calibri" w:cs="Tahoma"/>
          <w:sz w:val="22"/>
          <w:szCs w:val="22"/>
        </w:rPr>
        <w:t>, logistyczn</w:t>
      </w:r>
      <w:r w:rsidR="0064655B">
        <w:rPr>
          <w:rFonts w:ascii="Calibri" w:hAnsi="Calibri" w:cs="Tahoma"/>
          <w:sz w:val="22"/>
          <w:szCs w:val="22"/>
        </w:rPr>
        <w:t>e</w:t>
      </w:r>
      <w:r w:rsidRPr="00662F03">
        <w:rPr>
          <w:rFonts w:ascii="Calibri" w:hAnsi="Calibri" w:cs="Tahoma"/>
          <w:sz w:val="22"/>
          <w:szCs w:val="22"/>
        </w:rPr>
        <w:t>, organizacj</w:t>
      </w:r>
      <w:r w:rsidR="0064655B">
        <w:rPr>
          <w:rFonts w:ascii="Calibri" w:hAnsi="Calibri" w:cs="Tahoma"/>
          <w:sz w:val="22"/>
          <w:szCs w:val="22"/>
        </w:rPr>
        <w:t>a</w:t>
      </w:r>
      <w:r w:rsidRPr="00662F03">
        <w:rPr>
          <w:rFonts w:ascii="Calibri" w:hAnsi="Calibri" w:cs="Tahoma"/>
          <w:sz w:val="22"/>
          <w:szCs w:val="22"/>
        </w:rPr>
        <w:t xml:space="preserve"> usług gastronomicznych</w:t>
      </w:r>
      <w:r w:rsidR="0064655B">
        <w:rPr>
          <w:rFonts w:ascii="Calibri" w:hAnsi="Calibri" w:cs="Tahoma"/>
          <w:sz w:val="22"/>
          <w:szCs w:val="22"/>
        </w:rPr>
        <w:t>)</w:t>
      </w:r>
      <w:r w:rsidRPr="00662F03">
        <w:rPr>
          <w:rFonts w:ascii="Calibri" w:hAnsi="Calibri" w:cs="Tahoma"/>
          <w:sz w:val="22"/>
          <w:szCs w:val="22"/>
        </w:rPr>
        <w:t>.</w:t>
      </w:r>
    </w:p>
    <w:p w:rsidR="002F0A89"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Warto zaznaczyć, że uczniowie szkół ponadgimnazjalnych mają możliwość wyboru innych kierunków kształcenia tak</w:t>
      </w:r>
      <w:r w:rsidR="0064655B">
        <w:rPr>
          <w:rFonts w:ascii="Calibri" w:hAnsi="Calibri" w:cs="Tahoma"/>
          <w:sz w:val="22"/>
          <w:szCs w:val="22"/>
        </w:rPr>
        <w:t>że w dwóch sąsiednich miastach</w:t>
      </w:r>
      <w:r w:rsidRPr="00662F03">
        <w:rPr>
          <w:rFonts w:ascii="Calibri" w:hAnsi="Calibri" w:cs="Tahoma"/>
          <w:sz w:val="22"/>
          <w:szCs w:val="22"/>
        </w:rPr>
        <w:t xml:space="preserve"> Lub</w:t>
      </w:r>
      <w:r w:rsidR="001D220D" w:rsidRPr="00662F03">
        <w:rPr>
          <w:rFonts w:ascii="Calibri" w:hAnsi="Calibri" w:cs="Tahoma"/>
          <w:sz w:val="22"/>
          <w:szCs w:val="22"/>
        </w:rPr>
        <w:t>uskiego Trójmiasta, zwłaszcza w</w:t>
      </w:r>
      <w:r w:rsidRPr="00662F03">
        <w:rPr>
          <w:rFonts w:ascii="Calibri" w:hAnsi="Calibri" w:cs="Tahoma"/>
          <w:sz w:val="22"/>
          <w:szCs w:val="22"/>
        </w:rPr>
        <w:t xml:space="preserve"> Zielonej Górze. W Zielonej Górze stosunkowo dobrze rozwinięta jest sieć kształcenia profilowanego, uczniowie mają do dyspozycji: Szkołę Mistrzostwa Sportowego, Zespół Szkół Plastycznych, Państwową Szkołę Muzyczną I i II stopnia, Medyczne Studium Zawodowe. Istnieją także szkoły dające możliwość kształcenia językowego z klasami o profilu dwujęzycznym: I Liceum </w:t>
      </w:r>
      <w:r w:rsidR="001D220D" w:rsidRPr="00662F03">
        <w:rPr>
          <w:rFonts w:ascii="Calibri" w:hAnsi="Calibri" w:cs="Tahoma"/>
          <w:sz w:val="22"/>
          <w:szCs w:val="22"/>
        </w:rPr>
        <w:t>Ogólnokształcące i Gimnazjum nr </w:t>
      </w:r>
      <w:r w:rsidRPr="00662F03">
        <w:rPr>
          <w:rFonts w:ascii="Calibri" w:hAnsi="Calibri" w:cs="Tahoma"/>
          <w:sz w:val="22"/>
          <w:szCs w:val="22"/>
        </w:rPr>
        <w:t>9. Wiele szkół ma poszerzony program zajęć sportowych, edukacji ekologicznej czy artystycznej.</w:t>
      </w:r>
    </w:p>
    <w:p w:rsidR="005950E7" w:rsidRPr="00662F03" w:rsidRDefault="005950E7" w:rsidP="005950E7">
      <w:pPr>
        <w:shd w:val="clear" w:color="auto" w:fill="FFFFFF"/>
        <w:spacing w:before="150" w:after="75"/>
        <w:jc w:val="both"/>
        <w:outlineLvl w:val="3"/>
        <w:rPr>
          <w:rFonts w:ascii="Calibri" w:hAnsi="Calibri" w:cs="Tahoma"/>
          <w:sz w:val="22"/>
          <w:szCs w:val="22"/>
        </w:rPr>
      </w:pPr>
      <w:r>
        <w:rPr>
          <w:rFonts w:ascii="Calibri" w:hAnsi="Calibri" w:cs="Tahoma"/>
          <w:sz w:val="22"/>
          <w:szCs w:val="22"/>
        </w:rPr>
        <w:t xml:space="preserve">W Nowej Soli działa </w:t>
      </w:r>
      <w:r w:rsidRPr="005950E7">
        <w:rPr>
          <w:rFonts w:ascii="Calibri" w:hAnsi="Calibri" w:cs="Tahoma"/>
          <w:sz w:val="22"/>
          <w:szCs w:val="22"/>
        </w:rPr>
        <w:t>Państwowa Szkoła Muzyczna I st.</w:t>
      </w:r>
      <w:r>
        <w:rPr>
          <w:rFonts w:ascii="Calibri" w:hAnsi="Calibri" w:cs="Tahoma"/>
          <w:sz w:val="22"/>
          <w:szCs w:val="22"/>
        </w:rPr>
        <w:t xml:space="preserve"> </w:t>
      </w:r>
      <w:r w:rsidRPr="005950E7">
        <w:rPr>
          <w:rFonts w:ascii="Calibri" w:hAnsi="Calibri" w:cs="Tahoma"/>
          <w:sz w:val="22"/>
          <w:szCs w:val="22"/>
        </w:rPr>
        <w:t>im.</w:t>
      </w:r>
      <w:r>
        <w:rPr>
          <w:rFonts w:ascii="Calibri" w:hAnsi="Calibri" w:cs="Tahoma"/>
          <w:sz w:val="22"/>
          <w:szCs w:val="22"/>
        </w:rPr>
        <w:t xml:space="preserve"> </w:t>
      </w:r>
      <w:r w:rsidRPr="005950E7">
        <w:rPr>
          <w:rFonts w:ascii="Calibri" w:hAnsi="Calibri" w:cs="Tahoma"/>
          <w:sz w:val="22"/>
          <w:szCs w:val="22"/>
        </w:rPr>
        <w:t>Grażyny Bacewicz</w:t>
      </w:r>
      <w:r>
        <w:rPr>
          <w:rFonts w:ascii="Calibri" w:hAnsi="Calibri" w:cs="Tahoma"/>
          <w:sz w:val="22"/>
          <w:szCs w:val="22"/>
        </w:rPr>
        <w:t>, w której naukę pobiera około 200 uczniów. Szkoła wywodzi się z p</w:t>
      </w:r>
      <w:r w:rsidRPr="005950E7">
        <w:rPr>
          <w:rFonts w:ascii="Calibri" w:hAnsi="Calibri" w:cs="Tahoma"/>
          <w:sz w:val="22"/>
          <w:szCs w:val="22"/>
        </w:rPr>
        <w:t>owstałe</w:t>
      </w:r>
      <w:r>
        <w:rPr>
          <w:rFonts w:ascii="Calibri" w:hAnsi="Calibri" w:cs="Tahoma"/>
          <w:sz w:val="22"/>
          <w:szCs w:val="22"/>
        </w:rPr>
        <w:t>go</w:t>
      </w:r>
      <w:r w:rsidRPr="005950E7">
        <w:rPr>
          <w:rFonts w:ascii="Calibri" w:hAnsi="Calibri" w:cs="Tahoma"/>
          <w:sz w:val="22"/>
          <w:szCs w:val="22"/>
        </w:rPr>
        <w:t xml:space="preserve"> w 1953 r. Społeczne</w:t>
      </w:r>
      <w:r>
        <w:rPr>
          <w:rFonts w:ascii="Calibri" w:hAnsi="Calibri" w:cs="Tahoma"/>
          <w:sz w:val="22"/>
          <w:szCs w:val="22"/>
        </w:rPr>
        <w:t>go</w:t>
      </w:r>
      <w:r w:rsidRPr="005950E7">
        <w:rPr>
          <w:rFonts w:ascii="Calibri" w:hAnsi="Calibri" w:cs="Tahoma"/>
          <w:sz w:val="22"/>
          <w:szCs w:val="22"/>
        </w:rPr>
        <w:t xml:space="preserve"> Ognisk</w:t>
      </w:r>
      <w:r>
        <w:rPr>
          <w:rFonts w:ascii="Calibri" w:hAnsi="Calibri" w:cs="Tahoma"/>
          <w:sz w:val="22"/>
          <w:szCs w:val="22"/>
        </w:rPr>
        <w:t>a</w:t>
      </w:r>
      <w:r w:rsidRPr="005950E7">
        <w:rPr>
          <w:rFonts w:ascii="Calibri" w:hAnsi="Calibri" w:cs="Tahoma"/>
          <w:sz w:val="22"/>
          <w:szCs w:val="22"/>
        </w:rPr>
        <w:t xml:space="preserve"> Muzyczne</w:t>
      </w:r>
      <w:r>
        <w:rPr>
          <w:rFonts w:ascii="Calibri" w:hAnsi="Calibri" w:cs="Tahoma"/>
          <w:sz w:val="22"/>
          <w:szCs w:val="22"/>
        </w:rPr>
        <w:t>go, które</w:t>
      </w:r>
      <w:r w:rsidRPr="005950E7">
        <w:rPr>
          <w:rFonts w:ascii="Calibri" w:hAnsi="Calibri" w:cs="Tahoma"/>
          <w:sz w:val="22"/>
          <w:szCs w:val="22"/>
        </w:rPr>
        <w:t xml:space="preserve"> stało się podłożem do utworzenia w 1965 r. Społecznej Szkoły Muzycznej, którą 4 września 1967 roku upaństwowiono.</w:t>
      </w:r>
      <w:r>
        <w:rPr>
          <w:rFonts w:ascii="Calibri" w:hAnsi="Calibri" w:cs="Tahoma"/>
          <w:sz w:val="22"/>
          <w:szCs w:val="22"/>
        </w:rPr>
        <w:t xml:space="preserve"> </w:t>
      </w:r>
      <w:r w:rsidRPr="005950E7">
        <w:rPr>
          <w:rFonts w:ascii="Calibri" w:hAnsi="Calibri" w:cs="Tahoma"/>
          <w:sz w:val="22"/>
          <w:szCs w:val="22"/>
        </w:rPr>
        <w:t>Uczniowie uczestniczą w zajęciach indywidualnych, teoretycznych, grają w zespołach kameralnych,</w:t>
      </w:r>
      <w:r>
        <w:rPr>
          <w:rFonts w:ascii="Calibri" w:hAnsi="Calibri" w:cs="Tahoma"/>
          <w:sz w:val="22"/>
          <w:szCs w:val="22"/>
        </w:rPr>
        <w:t xml:space="preserve"> orkiestrze i śpiewają w chórze</w:t>
      </w:r>
      <w:r w:rsidRPr="005950E7">
        <w:rPr>
          <w:rFonts w:ascii="Calibri" w:hAnsi="Calibri" w:cs="Tahoma"/>
          <w:sz w:val="22"/>
          <w:szCs w:val="22"/>
        </w:rPr>
        <w:t>. Szkoła czynnie uczestniczy w życiu kulturalnym miasta, organizując koncerty dla władz miasta, mieszkańców, dzieci przedszkolnych oraz młodzieży szkolnej.</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Pozalekcyjne zajęcia uzupełnia</w:t>
      </w:r>
      <w:r w:rsidR="0064655B">
        <w:rPr>
          <w:rFonts w:ascii="Calibri" w:hAnsi="Calibri" w:cs="Tahoma"/>
          <w:sz w:val="22"/>
          <w:szCs w:val="22"/>
        </w:rPr>
        <w:t>ją:</w:t>
      </w:r>
      <w:r w:rsidRPr="00662F03">
        <w:rPr>
          <w:rFonts w:ascii="Calibri" w:hAnsi="Calibri" w:cs="Tahoma"/>
          <w:sz w:val="22"/>
          <w:szCs w:val="22"/>
        </w:rPr>
        <w:t xml:space="preserve"> oferta Młodzieżowej Orkiestry Dętej Zespołu Szkół Ponadgimnazjalnych nr 1 "Elektryk" im. W. Krukowskiego, działając</w:t>
      </w:r>
      <w:r w:rsidR="0064655B">
        <w:rPr>
          <w:rFonts w:ascii="Calibri" w:hAnsi="Calibri" w:cs="Tahoma"/>
          <w:sz w:val="22"/>
          <w:szCs w:val="22"/>
        </w:rPr>
        <w:t>e</w:t>
      </w:r>
      <w:r w:rsidRPr="00662F03">
        <w:rPr>
          <w:rFonts w:ascii="Calibri" w:hAnsi="Calibri" w:cs="Tahoma"/>
          <w:sz w:val="22"/>
          <w:szCs w:val="22"/>
        </w:rPr>
        <w:t xml:space="preserve"> przy szkołach grupy teatralne, chóry.</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Nowosolskie szkoły są coraz lepiej wyposażone, więcej szkół dysponuje pomieszczeniami do ogólnorozwojowych zajęć sportowych, takimi jak sale gimnastyczne, boiska. Jakość kształcenia w nowosolskich placówkach szkolnych jest zróżnicowana.</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Trendy demograficzne w grupie do 17 lat powodują, że systematycznie zmniejsza się liczba dzieci i młodzieży objętych nauczaniem na poziomie podstawowym. Liczba uczniów tych szkół sukcesywnie spada (od 2003 r. liczba uczniów zmniejszyła o ponad 20%).</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roku 2009 szkoły ponadgimnazjalne dla młodzieży i dorosłych</w:t>
      </w:r>
      <w:r w:rsidR="001D220D" w:rsidRPr="00662F03">
        <w:rPr>
          <w:rFonts w:ascii="Calibri" w:hAnsi="Calibri" w:cs="Tahoma"/>
          <w:sz w:val="22"/>
          <w:szCs w:val="22"/>
        </w:rPr>
        <w:t xml:space="preserve"> (bez specjalnych)</w:t>
      </w:r>
      <w:r w:rsidRPr="00662F03">
        <w:rPr>
          <w:rFonts w:ascii="Calibri" w:hAnsi="Calibri" w:cs="Tahoma"/>
          <w:sz w:val="22"/>
          <w:szCs w:val="22"/>
        </w:rPr>
        <w:t xml:space="preserve"> opuściło ponad 900 absolwentów, którzy w większości zasilają lokalny rynek pracy. Około 34% absolwentów ze wspomnianego rocznika kończy szkoły średnie zawodowe, a ponad 35% szkoły ogólnokształcące, 18% szkoły dla dorosłych. Niespełna 13% absolwentów kończy zasadnicze szkoły zawodowe, przygotowujące młodzież do wykonywania zawodów robotniczych.</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Od 2007 </w:t>
      </w:r>
      <w:r w:rsidR="007844A9" w:rsidRPr="00662F03">
        <w:rPr>
          <w:rFonts w:ascii="Calibri" w:hAnsi="Calibri" w:cs="Tahoma"/>
          <w:sz w:val="22"/>
          <w:szCs w:val="22"/>
        </w:rPr>
        <w:t xml:space="preserve">r. </w:t>
      </w:r>
      <w:r w:rsidRPr="00662F03">
        <w:rPr>
          <w:rFonts w:ascii="Calibri" w:hAnsi="Calibri" w:cs="Tahoma"/>
          <w:sz w:val="22"/>
          <w:szCs w:val="22"/>
        </w:rPr>
        <w:t>maleje zainteresowanie usługami edukacyjnymi dla dorosłych, co wskazuje na konieczność poprawy jakości i dostępności ustawicznego kształcenia i szkolenia zawodowego, umożliwiającego ciągłe zdobywanie kwalifikacji oraz wypracowania nowych metod nauczania z wykorzystaniem nowych technik informatycznych. Dużą popularnością cieszą się szkoły policealne dla dorosłych, które jednak także odnotowały spadek popytu od 2006 roku o ponad 60%. Z kolei licea ogólnokształcące i licea ogólnokształcące uzupełniające dla dorosłych odnotowały znaczący spadek między rokiem 2004 a 2006, natomiast od roku 2006 liczba uczniów systematycznie rośnie.</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Osoby dorosłe uzupełniają wykształcenie w 4 szkołach ponadgimnazjalnych (głównie w liceach ogólnokształcących i liceach ogólnokształcących uzupełniających - prawie 300 osób) i 4 placówkach policealnych, w których uczy się ponad 300 osób. Ponadto istnieje możliwość kształcenia się w Centrum Kształcenia Praktycznego w Nowej Soli (Powiatowe Centrum Edukacji). Centrum oferuje młodzieży szkolnej i akademickiej, dorosłym i nauczycielom kształcenie, doskonalenie i dokształcanie zawodowe w różnych branżach i profilach zawodowych zgodnie z wymaganiami rynku pracy. Kształcenie to odbywa się w ramach zajęć praktycznych, praktyk zawodowych, zajęć specjalistycznych, zajęć orga</w:t>
      </w:r>
      <w:r w:rsidR="009C019F" w:rsidRPr="00662F03">
        <w:rPr>
          <w:rFonts w:ascii="Calibri" w:hAnsi="Calibri" w:cs="Tahoma"/>
          <w:sz w:val="22"/>
          <w:szCs w:val="22"/>
        </w:rPr>
        <w:t>nizowanych w formach kursowych.</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ramach podnoszenia jakości szkolnictwa zawodowego ZSP nr 4 uczestniczy, obok 10 innych szkół zawodowych województwa, w projekcie „Lubuska szkoła zawodów”. Projekt prowadzony jest przez Ośrodek Doskonalenia Nauczycieli w Zielonej Górze i otrzymał dofinansowanie ze środków Unii Europejskiej w ramach Programu Operacyjnego Kapitał Ludzki.</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dzi</w:t>
      </w:r>
      <w:r w:rsidR="009C019F" w:rsidRPr="00662F03">
        <w:rPr>
          <w:rFonts w:ascii="Calibri" w:hAnsi="Calibri" w:cs="Tahoma"/>
          <w:sz w:val="22"/>
          <w:szCs w:val="22"/>
        </w:rPr>
        <w:t>ała Specjalny Ośrodek Szkolno-</w:t>
      </w:r>
      <w:r w:rsidRPr="00662F03">
        <w:rPr>
          <w:rFonts w:ascii="Calibri" w:hAnsi="Calibri" w:cs="Tahoma"/>
          <w:sz w:val="22"/>
          <w:szCs w:val="22"/>
        </w:rPr>
        <w:t>Wychowawczy, który jest placówką oświatową stwarzającą możliwości nauki dzieciom niepełnosprawnym intelektualnie, które ze względu na deficyty rozwojowe i obniżony poziom intelektualny nie są w stanie realizować obowiązku szkolnego w szkołach macierzystych. W Ośrodku funkcjonują: Szkoła Podstawowa, Gimnazjum, Zasadnicza Szkoła Zawodowa, Szkoła Przysposabiająca do Pracy, Internat dla 25 wychowanków.</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Analiza wyników sprawdzianu w klasie szóstej oraz egzaminu gimnazjalnego, uzyskiwanych przez uczniów lubuskich szkół na tych etapa</w:t>
      </w:r>
      <w:r w:rsidR="00354F25" w:rsidRPr="00662F03">
        <w:rPr>
          <w:rFonts w:ascii="Calibri" w:hAnsi="Calibri" w:cs="Tahoma"/>
          <w:sz w:val="22"/>
          <w:szCs w:val="22"/>
        </w:rPr>
        <w:t xml:space="preserve">ch edukacyjnych wskazywała na </w:t>
      </w:r>
      <w:r w:rsidRPr="00662F03">
        <w:rPr>
          <w:rFonts w:ascii="Calibri" w:hAnsi="Calibri" w:cs="Tahoma"/>
          <w:sz w:val="22"/>
          <w:szCs w:val="22"/>
        </w:rPr>
        <w:t>konieczność podjęcia systemowych działań skutkujących poprawą efektywności kształcenia. Jednym z nich jest realizowany od roku szkolnego 2007/2008 program Lubuskiego Kuratora Oświaty „Podnoszenie efektywności kształcenia w lubuskich szkołach podstawowych i gimnazjach”. Celem głównym Programu jest doskonalenie procesu edukacyjnego, ukierunkowanego na rozwój uczniów i osiąganie przez nich zadowalających wyników kształcenia.</w:t>
      </w:r>
    </w:p>
    <w:p w:rsidR="009C019F"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Zakres danych czasowych dotyczący liczby uczniów w szkołach dla dzieci i młodzieży został zaprezentowany na przestrzeni trzech lat ze względu na trudności w dokładnym i jednolitym przygotowaniu danych, co spowodowane jest reformami i zmianami w systemie edukacji.</w:t>
      </w:r>
    </w:p>
    <w:p w:rsidR="009C019F" w:rsidRPr="006A1ADF" w:rsidRDefault="009C019F" w:rsidP="004E5A9A">
      <w:pPr>
        <w:shd w:val="clear" w:color="auto" w:fill="FFFFFF"/>
        <w:spacing w:before="150"/>
        <w:jc w:val="both"/>
        <w:outlineLvl w:val="3"/>
        <w:rPr>
          <w:rFonts w:ascii="Calibri" w:hAnsi="Calibri" w:cs="Tahoma"/>
          <w:sz w:val="20"/>
          <w:szCs w:val="20"/>
        </w:rPr>
      </w:pPr>
      <w:bookmarkStart w:id="25" w:name="_Toc315790480"/>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11</w:t>
      </w:r>
      <w:r w:rsidR="005433B6" w:rsidRPr="00662F03">
        <w:rPr>
          <w:rFonts w:ascii="Calibri" w:hAnsi="Calibri" w:cs="Tahoma"/>
          <w:sz w:val="20"/>
          <w:szCs w:val="22"/>
        </w:rPr>
        <w:fldChar w:fldCharType="end"/>
      </w:r>
      <w:r w:rsidRPr="00662F03">
        <w:rPr>
          <w:rFonts w:ascii="Calibri" w:hAnsi="Calibri" w:cs="Tahoma"/>
          <w:sz w:val="20"/>
          <w:szCs w:val="22"/>
        </w:rPr>
        <w:t>.</w:t>
      </w:r>
      <w:r w:rsidR="006A1ADF">
        <w:rPr>
          <w:rFonts w:ascii="Calibri" w:hAnsi="Calibri" w:cs="Tahoma"/>
          <w:sz w:val="20"/>
          <w:szCs w:val="22"/>
        </w:rPr>
        <w:t xml:space="preserve"> </w:t>
      </w:r>
      <w:r w:rsidR="006A1ADF" w:rsidRPr="006A1ADF">
        <w:rPr>
          <w:rFonts w:ascii="Calibri" w:hAnsi="Calibri" w:cs="Tahoma"/>
          <w:bCs/>
          <w:sz w:val="20"/>
          <w:szCs w:val="20"/>
        </w:rPr>
        <w:t>Uczniowie w szkołach dla dzieci i młodzieży w Nowej Soli w latach 2007-2009</w:t>
      </w:r>
      <w:r w:rsidR="006A1ADF">
        <w:rPr>
          <w:rFonts w:ascii="Calibri" w:hAnsi="Calibri" w:cs="Tahoma"/>
          <w:bCs/>
          <w:sz w:val="20"/>
          <w:szCs w:val="20"/>
        </w:rPr>
        <w:t>.</w:t>
      </w:r>
      <w:bookmarkEnd w:id="25"/>
    </w:p>
    <w:p w:rsidR="002F0A89" w:rsidRPr="00662F03" w:rsidRDefault="005B1628" w:rsidP="004E5A9A">
      <w:pPr>
        <w:autoSpaceDE w:val="0"/>
        <w:autoSpaceDN w:val="0"/>
        <w:adjustRightInd w:val="0"/>
        <w:jc w:val="center"/>
        <w:rPr>
          <w:rFonts w:ascii="Calibri" w:hAnsi="Calibri" w:cs="Tahoma,Bold"/>
          <w:b/>
          <w:bCs/>
          <w:sz w:val="22"/>
          <w:szCs w:val="22"/>
        </w:rPr>
      </w:pPr>
      <w:r>
        <w:rPr>
          <w:rFonts w:ascii="Calibri" w:hAnsi="Calibri" w:cs="Tahoma,Bold"/>
          <w:b/>
          <w:noProof/>
          <w:sz w:val="22"/>
          <w:szCs w:val="22"/>
        </w:rPr>
        <w:drawing>
          <wp:inline distT="0" distB="0" distL="0" distR="0">
            <wp:extent cx="4521821" cy="2843149"/>
            <wp:effectExtent l="19050" t="0" r="12079" b="0"/>
            <wp:docPr id="1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0A89" w:rsidRPr="00662F03" w:rsidRDefault="002F0A89" w:rsidP="004E5A9A">
      <w:pPr>
        <w:autoSpaceDE w:val="0"/>
        <w:autoSpaceDN w:val="0"/>
        <w:adjustRightInd w:val="0"/>
        <w:rPr>
          <w:rFonts w:ascii="Calibri" w:hAnsi="Calibri" w:cs="Tahoma,Bold"/>
          <w:bCs/>
          <w:sz w:val="20"/>
          <w:szCs w:val="20"/>
        </w:rPr>
      </w:pPr>
      <w:r w:rsidRPr="00662F03">
        <w:rPr>
          <w:rFonts w:ascii="Calibri" w:hAnsi="Calibri" w:cs="Tahoma,Bold"/>
          <w:bCs/>
          <w:sz w:val="20"/>
          <w:szCs w:val="20"/>
        </w:rPr>
        <w:t xml:space="preserve">Źródło: </w:t>
      </w:r>
      <w:r w:rsidR="009C019F" w:rsidRPr="00662F03">
        <w:rPr>
          <w:rFonts w:ascii="Calibri" w:hAnsi="Calibri" w:cs="Tahoma,Bold"/>
          <w:bCs/>
          <w:sz w:val="20"/>
          <w:szCs w:val="20"/>
        </w:rPr>
        <w:t>opracowanie własne na podstawie danych</w:t>
      </w:r>
      <w:r w:rsidRPr="00662F03">
        <w:rPr>
          <w:rFonts w:ascii="Calibri" w:hAnsi="Calibri" w:cs="Tahoma,Bold"/>
          <w:bCs/>
          <w:sz w:val="20"/>
          <w:szCs w:val="20"/>
        </w:rPr>
        <w:t xml:space="preserve"> GUS</w:t>
      </w:r>
      <w:r w:rsidR="004A24CA">
        <w:rPr>
          <w:rFonts w:ascii="Calibri" w:hAnsi="Calibri"/>
          <w:sz w:val="20"/>
        </w:rPr>
        <w:t>, Bank Danych Lokalnych</w:t>
      </w:r>
      <w:r w:rsidR="009C019F" w:rsidRPr="00662F03">
        <w:rPr>
          <w:rFonts w:ascii="Calibri" w:hAnsi="Calibri" w:cs="Tahoma,Bold"/>
          <w:bCs/>
          <w:sz w:val="20"/>
          <w:szCs w:val="20"/>
        </w:rPr>
        <w:t>.</w:t>
      </w:r>
    </w:p>
    <w:p w:rsidR="00662F03" w:rsidRDefault="002F0A89" w:rsidP="0029538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Jakość kształcenia w nowosolskich placówkach jest zróżnicowana. Średnie wyniki egzaminów gimnazjalnych plasują Nową Sól na poziomie nieco poniżej średniej województwa i kraju, zarówno w części humanistycznej, jak i matematyczno-przyrodniczej, natomiast na wyższym poziomie w części językowej, analizowanej na przykładzie języka angielskiego. Na tle miast o podobnej liczbie mieszkańców Nowa Sól w części h</w:t>
      </w:r>
      <w:r w:rsidR="007844A9" w:rsidRPr="00662F03">
        <w:rPr>
          <w:rFonts w:ascii="Calibri" w:hAnsi="Calibri" w:cs="Tahoma"/>
          <w:sz w:val="22"/>
          <w:szCs w:val="22"/>
        </w:rPr>
        <w:t>umanistycznej oraz matematyczno-</w:t>
      </w:r>
      <w:r w:rsidRPr="00662F03">
        <w:rPr>
          <w:rFonts w:ascii="Calibri" w:hAnsi="Calibri" w:cs="Tahoma"/>
          <w:sz w:val="22"/>
          <w:szCs w:val="22"/>
        </w:rPr>
        <w:t>przyrodniczej znajduje się na ostatnim miejscu (37 na 37 badanych). Dużo lepiej wygląda sytuacja w części językowej, analizowanej na przykładzie języka angielskiego, gdzie Nowa Sól osiągnęła stosunkowo wysoką pozycję 6 na 23 analizowane.</w:t>
      </w:r>
    </w:p>
    <w:p w:rsidR="002F0A89" w:rsidRPr="006A1ADF" w:rsidRDefault="009C019F" w:rsidP="004E5A9A">
      <w:pPr>
        <w:shd w:val="clear" w:color="auto" w:fill="FFFFFF"/>
        <w:spacing w:before="150"/>
        <w:jc w:val="both"/>
        <w:outlineLvl w:val="3"/>
        <w:rPr>
          <w:rFonts w:ascii="Calibri" w:hAnsi="Calibri" w:cs="Tahoma"/>
          <w:szCs w:val="22"/>
        </w:rPr>
      </w:pPr>
      <w:bookmarkStart w:id="26" w:name="_Toc315790481"/>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12</w:t>
      </w:r>
      <w:r w:rsidR="005433B6" w:rsidRPr="00662F03">
        <w:rPr>
          <w:rFonts w:ascii="Calibri" w:hAnsi="Calibri" w:cs="Tahoma"/>
          <w:sz w:val="20"/>
          <w:szCs w:val="22"/>
        </w:rPr>
        <w:fldChar w:fldCharType="end"/>
      </w:r>
      <w:r w:rsidRPr="00662F03">
        <w:rPr>
          <w:rFonts w:ascii="Calibri" w:hAnsi="Calibri" w:cs="Tahoma"/>
          <w:sz w:val="20"/>
          <w:szCs w:val="22"/>
        </w:rPr>
        <w:t>.</w:t>
      </w:r>
      <w:r w:rsidR="006A1ADF">
        <w:rPr>
          <w:rFonts w:ascii="Calibri" w:hAnsi="Calibri" w:cs="Tahoma"/>
          <w:sz w:val="20"/>
          <w:szCs w:val="22"/>
        </w:rPr>
        <w:t xml:space="preserve"> </w:t>
      </w:r>
      <w:r w:rsidR="006A1ADF" w:rsidRPr="006A1ADF">
        <w:rPr>
          <w:rFonts w:ascii="Calibri" w:hAnsi="Calibri" w:cs="Tahoma"/>
          <w:bCs/>
          <w:sz w:val="20"/>
          <w:szCs w:val="22"/>
        </w:rPr>
        <w:t>Średnie wyniki egzaminów gimnazjalnych w Nowej Soli na tle średnich wyników dla miast o podobnej liczbie mieszkańców, województwa i kraju w 2010 roku</w:t>
      </w:r>
      <w:r w:rsidR="006A1ADF" w:rsidRPr="006A1ADF">
        <w:rPr>
          <w:rFonts w:ascii="Calibri" w:hAnsi="Calibri" w:cs="Tahoma"/>
          <w:sz w:val="20"/>
          <w:szCs w:val="22"/>
        </w:rPr>
        <w:t>.</w:t>
      </w:r>
      <w:bookmarkEnd w:id="26"/>
    </w:p>
    <w:p w:rsidR="009C019F" w:rsidRPr="00662F03" w:rsidRDefault="005B1628" w:rsidP="004E5A9A">
      <w:pPr>
        <w:autoSpaceDE w:val="0"/>
        <w:autoSpaceDN w:val="0"/>
        <w:adjustRightInd w:val="0"/>
        <w:jc w:val="center"/>
        <w:rPr>
          <w:rFonts w:ascii="Calibri" w:hAnsi="Calibri"/>
          <w:noProof/>
          <w:sz w:val="20"/>
          <w:szCs w:val="20"/>
        </w:rPr>
      </w:pPr>
      <w:r>
        <w:rPr>
          <w:rFonts w:ascii="Calibri" w:hAnsi="Calibri"/>
          <w:noProof/>
          <w:sz w:val="22"/>
          <w:szCs w:val="22"/>
        </w:rPr>
        <w:drawing>
          <wp:inline distT="0" distB="0" distL="0" distR="0">
            <wp:extent cx="4937750" cy="3074553"/>
            <wp:effectExtent l="19050" t="0" r="15250" b="0"/>
            <wp:docPr id="15"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F0A89" w:rsidRPr="00662F03" w:rsidRDefault="002F0A89" w:rsidP="004E5A9A">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wyników testów gimnazjalnych obwodowych komisji egzaminacyjnych</w:t>
      </w:r>
      <w:r w:rsidR="000A1556" w:rsidRPr="00662F03">
        <w:rPr>
          <w:rFonts w:ascii="Calibri" w:hAnsi="Calibri" w:cs="Tahoma"/>
          <w:sz w:val="20"/>
          <w:szCs w:val="22"/>
        </w:rPr>
        <w:t>.</w:t>
      </w:r>
    </w:p>
    <w:p w:rsidR="009C019F" w:rsidRPr="00662F03" w:rsidRDefault="002F0A89" w:rsidP="004E5A9A">
      <w:pPr>
        <w:shd w:val="clear" w:color="auto" w:fill="FFFFFF"/>
        <w:spacing w:after="75"/>
        <w:jc w:val="both"/>
        <w:outlineLvl w:val="3"/>
        <w:rPr>
          <w:rFonts w:ascii="Calibri" w:hAnsi="Calibri" w:cs="Tahoma"/>
          <w:sz w:val="22"/>
          <w:szCs w:val="22"/>
        </w:rPr>
      </w:pPr>
      <w:r w:rsidRPr="00662F03">
        <w:rPr>
          <w:rFonts w:ascii="Calibri" w:hAnsi="Calibri" w:cs="Tahoma"/>
          <w:sz w:val="22"/>
          <w:szCs w:val="22"/>
        </w:rPr>
        <w:lastRenderedPageBreak/>
        <w:t>Wyniki sprawdzianu w klasach szóstych plasują Nową Sól na pozycji nieco wyższej w stosunku do województwa i niższej w stosunku do kraju, natomiast na tle miast o porównywalnej liczbie mieszkańców – na stosunkowo odległej 30 pozycji na 37 analizowanych</w:t>
      </w:r>
      <w:r w:rsidR="009C019F" w:rsidRPr="00662F03">
        <w:rPr>
          <w:rFonts w:ascii="Calibri" w:hAnsi="Calibri" w:cs="Tahoma"/>
          <w:sz w:val="22"/>
          <w:vertAlign w:val="superscript"/>
        </w:rPr>
        <w:footnoteReference w:id="5"/>
      </w:r>
      <w:r w:rsidRPr="00662F03">
        <w:rPr>
          <w:rFonts w:ascii="Calibri" w:hAnsi="Calibri" w:cs="Tahoma"/>
          <w:sz w:val="22"/>
          <w:szCs w:val="22"/>
        </w:rPr>
        <w:t>.</w:t>
      </w:r>
    </w:p>
    <w:p w:rsidR="009C019F" w:rsidRPr="006A1ADF" w:rsidRDefault="009C019F" w:rsidP="004E5A9A">
      <w:pPr>
        <w:shd w:val="clear" w:color="auto" w:fill="FFFFFF"/>
        <w:spacing w:before="150" w:after="75"/>
        <w:jc w:val="both"/>
        <w:outlineLvl w:val="3"/>
        <w:rPr>
          <w:rFonts w:ascii="Calibri" w:hAnsi="Calibri" w:cs="Tahoma"/>
          <w:szCs w:val="22"/>
        </w:rPr>
      </w:pPr>
      <w:bookmarkStart w:id="27" w:name="_Toc315790482"/>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13</w:t>
      </w:r>
      <w:r w:rsidR="005433B6" w:rsidRPr="00662F03">
        <w:rPr>
          <w:rFonts w:ascii="Calibri" w:hAnsi="Calibri" w:cs="Tahoma"/>
          <w:sz w:val="20"/>
          <w:szCs w:val="22"/>
        </w:rPr>
        <w:fldChar w:fldCharType="end"/>
      </w:r>
      <w:r w:rsidRPr="00662F03">
        <w:rPr>
          <w:rFonts w:ascii="Calibri" w:hAnsi="Calibri" w:cs="Tahoma"/>
          <w:sz w:val="20"/>
          <w:szCs w:val="22"/>
        </w:rPr>
        <w:t>.</w:t>
      </w:r>
      <w:r w:rsidR="006A1ADF">
        <w:rPr>
          <w:rFonts w:ascii="Calibri" w:hAnsi="Calibri" w:cs="Tahoma"/>
          <w:sz w:val="20"/>
          <w:szCs w:val="22"/>
        </w:rPr>
        <w:t xml:space="preserve"> </w:t>
      </w:r>
      <w:r w:rsidR="006A1ADF">
        <w:rPr>
          <w:rFonts w:ascii="Calibri" w:hAnsi="Calibri" w:cs="Tahoma"/>
          <w:bCs/>
          <w:sz w:val="20"/>
          <w:szCs w:val="22"/>
        </w:rPr>
        <w:t xml:space="preserve">Średnie wyniki sprawdzianu w klasach </w:t>
      </w:r>
      <w:r w:rsidR="006A1ADF" w:rsidRPr="006A1ADF">
        <w:rPr>
          <w:rFonts w:ascii="Calibri" w:hAnsi="Calibri" w:cs="Tahoma"/>
          <w:bCs/>
          <w:sz w:val="20"/>
          <w:szCs w:val="22"/>
        </w:rPr>
        <w:t>VI w Nowej Soli na tle średnich wyników dla miast o podobnej liczbie mieszkańców, województwa i kraju w 2010 roku.</w:t>
      </w:r>
      <w:bookmarkEnd w:id="27"/>
    </w:p>
    <w:p w:rsidR="002F0A89" w:rsidRPr="00662F03" w:rsidRDefault="005B1628" w:rsidP="004E5A9A">
      <w:pPr>
        <w:jc w:val="center"/>
        <w:rPr>
          <w:rFonts w:ascii="Calibri" w:hAnsi="Calibri"/>
          <w:noProof/>
          <w:sz w:val="20"/>
          <w:szCs w:val="20"/>
        </w:rPr>
      </w:pPr>
      <w:r>
        <w:rPr>
          <w:rFonts w:ascii="Calibri" w:hAnsi="Calibri"/>
          <w:noProof/>
          <w:sz w:val="20"/>
          <w:szCs w:val="20"/>
        </w:rPr>
        <w:drawing>
          <wp:inline distT="0" distB="0" distL="0" distR="0">
            <wp:extent cx="4843515" cy="2785730"/>
            <wp:effectExtent l="19050" t="0" r="14235" b="0"/>
            <wp:docPr id="16"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F0A89" w:rsidRPr="00662F03" w:rsidRDefault="002F0A89" w:rsidP="00354F25">
      <w:pPr>
        <w:jc w:val="both"/>
        <w:rPr>
          <w:rFonts w:ascii="Calibri" w:hAnsi="Calibri"/>
          <w:noProof/>
          <w:sz w:val="22"/>
          <w:szCs w:val="22"/>
        </w:rPr>
      </w:pPr>
      <w:r w:rsidRPr="00662F03">
        <w:rPr>
          <w:rFonts w:ascii="Calibri" w:hAnsi="Calibri"/>
          <w:noProof/>
          <w:sz w:val="20"/>
          <w:szCs w:val="20"/>
        </w:rPr>
        <w:t>Źródło: opracowanie własne na podstawie wyników sprawdzianu w kl. VI obwodowych komisji egzaminacyjnych</w:t>
      </w:r>
      <w:r w:rsidR="00354F25" w:rsidRPr="00662F03">
        <w:rPr>
          <w:rFonts w:ascii="Calibri" w:hAnsi="Calibri"/>
          <w:noProof/>
          <w:sz w:val="22"/>
          <w:szCs w:val="22"/>
        </w:rPr>
        <w:t>.</w:t>
      </w:r>
    </w:p>
    <w:p w:rsidR="002F0A89" w:rsidRPr="00662F03" w:rsidRDefault="002F0A89" w:rsidP="004E5A9A">
      <w:pPr>
        <w:rPr>
          <w:rFonts w:ascii="Calibri" w:hAnsi="Calibri"/>
          <w:noProof/>
          <w:sz w:val="20"/>
          <w:szCs w:val="20"/>
        </w:rPr>
      </w:pPr>
      <w:r w:rsidRPr="00662F03">
        <w:rPr>
          <w:rFonts w:ascii="Calibri" w:hAnsi="Calibri"/>
          <w:noProof/>
          <w:sz w:val="20"/>
          <w:szCs w:val="20"/>
        </w:rPr>
        <w:t>*Ze względu na rozproszenie i braki danych zmiejszono liczbę analizowanych miast.</w:t>
      </w:r>
    </w:p>
    <w:p w:rsidR="00124130" w:rsidRPr="00295383" w:rsidRDefault="00124130" w:rsidP="00295383"/>
    <w:tbl>
      <w:tblPr>
        <w:tblW w:w="0" w:type="auto"/>
        <w:tblLayout w:type="fixed"/>
        <w:tblLook w:val="04A0"/>
      </w:tblPr>
      <w:tblGrid>
        <w:gridCol w:w="534"/>
        <w:gridCol w:w="8897"/>
      </w:tblGrid>
      <w:tr w:rsidR="00D4016C" w:rsidRPr="00BC375D" w:rsidTr="00492EE8">
        <w:trPr>
          <w:cantSplit/>
          <w:trHeight w:val="1134"/>
        </w:trPr>
        <w:tc>
          <w:tcPr>
            <w:tcW w:w="534" w:type="dxa"/>
            <w:shd w:val="clear" w:color="auto" w:fill="F2F2F2"/>
            <w:textDirection w:val="btLr"/>
          </w:tcPr>
          <w:p w:rsidR="00D4016C" w:rsidRPr="00BC375D" w:rsidRDefault="00D4016C" w:rsidP="00492EE8">
            <w:pPr>
              <w:ind w:left="113" w:right="113"/>
              <w:jc w:val="center"/>
              <w:outlineLvl w:val="3"/>
              <w:rPr>
                <w:rFonts w:ascii="Calibri" w:eastAsia="Calibri" w:hAnsi="Calibri" w:cs="Tahoma"/>
                <w:caps/>
                <w:sz w:val="22"/>
                <w:szCs w:val="22"/>
              </w:rPr>
            </w:pPr>
            <w:r w:rsidRPr="00BC375D">
              <w:rPr>
                <w:rFonts w:ascii="Calibri" w:eastAsia="Calibri" w:hAnsi="Calibri" w:cs="Tahoma"/>
                <w:caps/>
                <w:sz w:val="22"/>
                <w:szCs w:val="22"/>
              </w:rPr>
              <w:t>dobre praktyki</w:t>
            </w:r>
          </w:p>
        </w:tc>
        <w:tc>
          <w:tcPr>
            <w:tcW w:w="8897" w:type="dxa"/>
          </w:tcPr>
          <w:p w:rsidR="00C4283C" w:rsidRDefault="006D475C" w:rsidP="00C4283C">
            <w:pPr>
              <w:shd w:val="clear" w:color="auto" w:fill="FFFFFF"/>
              <w:spacing w:before="150" w:after="75"/>
              <w:jc w:val="both"/>
              <w:outlineLvl w:val="3"/>
              <w:rPr>
                <w:rFonts w:ascii="Calibri" w:eastAsia="Calibri" w:hAnsi="Calibri" w:cs="Tahoma"/>
                <w:i/>
                <w:sz w:val="22"/>
                <w:szCs w:val="22"/>
              </w:rPr>
            </w:pPr>
            <w:r w:rsidRPr="006D475C">
              <w:rPr>
                <w:rFonts w:ascii="Calibri" w:eastAsia="Calibri" w:hAnsi="Calibri" w:cs="Tahoma"/>
                <w:i/>
                <w:sz w:val="22"/>
                <w:szCs w:val="22"/>
              </w:rPr>
              <w:t>Oferta edukacyjna nowosolskich szkół nie odpowiada potrzebom rynku pracy, co skutkuje bezrobociem wśród młodzieży.</w:t>
            </w:r>
            <w:r>
              <w:rPr>
                <w:rFonts w:ascii="Calibri" w:eastAsia="Calibri" w:hAnsi="Calibri" w:cs="Tahoma"/>
                <w:i/>
                <w:sz w:val="22"/>
                <w:szCs w:val="22"/>
              </w:rPr>
              <w:t xml:space="preserve"> Dobry przykład </w:t>
            </w:r>
            <w:r w:rsidRPr="006D475C">
              <w:rPr>
                <w:rFonts w:ascii="Calibri" w:eastAsia="Calibri" w:hAnsi="Calibri" w:cs="Tahoma"/>
                <w:i/>
                <w:sz w:val="22"/>
                <w:szCs w:val="22"/>
              </w:rPr>
              <w:t>kompleksowe</w:t>
            </w:r>
            <w:r>
              <w:rPr>
                <w:rFonts w:ascii="Calibri" w:eastAsia="Calibri" w:hAnsi="Calibri" w:cs="Tahoma"/>
                <w:i/>
                <w:sz w:val="22"/>
                <w:szCs w:val="22"/>
              </w:rPr>
              <w:t>go podejścia</w:t>
            </w:r>
            <w:r w:rsidRPr="006D475C">
              <w:rPr>
                <w:rFonts w:ascii="Calibri" w:eastAsia="Calibri" w:hAnsi="Calibri" w:cs="Tahoma"/>
                <w:i/>
                <w:sz w:val="22"/>
                <w:szCs w:val="22"/>
              </w:rPr>
              <w:t xml:space="preserve"> do problemu kształcenia zawodowego młodzieży</w:t>
            </w:r>
            <w:r>
              <w:rPr>
                <w:rFonts w:ascii="Calibri" w:eastAsia="Calibri" w:hAnsi="Calibri" w:cs="Tahoma"/>
                <w:i/>
                <w:sz w:val="22"/>
                <w:szCs w:val="22"/>
              </w:rPr>
              <w:t xml:space="preserve"> prezentuje </w:t>
            </w:r>
            <w:r w:rsidR="00C4283C">
              <w:rPr>
                <w:rFonts w:ascii="Calibri" w:eastAsia="Calibri" w:hAnsi="Calibri" w:cs="Tahoma"/>
                <w:i/>
                <w:sz w:val="22"/>
                <w:szCs w:val="22"/>
              </w:rPr>
              <w:t xml:space="preserve">rozwiązanie przyjęte w powiecie poznańskim, które </w:t>
            </w:r>
            <w:r w:rsidR="00C4283C" w:rsidRPr="00C4283C">
              <w:rPr>
                <w:rFonts w:ascii="Calibri" w:eastAsia="Calibri" w:hAnsi="Calibri" w:cs="Tahoma"/>
                <w:i/>
                <w:sz w:val="22"/>
                <w:szCs w:val="22"/>
              </w:rPr>
              <w:t>wiąże ze sobą szereg działań realizowanych przez różne jednostki organizacyjne i ma charakter systemowych, kompleksowych działań</w:t>
            </w:r>
            <w:r w:rsidR="00C4283C">
              <w:rPr>
                <w:rFonts w:ascii="Calibri" w:eastAsia="Calibri" w:hAnsi="Calibri" w:cs="Tahoma"/>
                <w:i/>
                <w:sz w:val="22"/>
                <w:szCs w:val="22"/>
              </w:rPr>
              <w:t>. Projekt o</w:t>
            </w:r>
            <w:r w:rsidR="00C4283C" w:rsidRPr="00C4283C">
              <w:rPr>
                <w:rFonts w:ascii="Calibri" w:eastAsia="Calibri" w:hAnsi="Calibri" w:cs="Tahoma"/>
                <w:i/>
                <w:sz w:val="22"/>
                <w:szCs w:val="22"/>
              </w:rPr>
              <w:t>bejmuje szereg działań podejmowanych przez powiat, które dostosowują szkolną ofertę edukacyjną do potrzeb rynku pracy. Tworzenie nowych kierunków kształcenia w takich zawodach, na które jest popyt na lokalnym i krajowym  rynku pracy, ma zapobiegać bezrobociu. Wprowadzono, początkowo jako eksperyment, kształcenie w zawodzie florysty, który został wpisany przez MEN na listę zawodów. Uruchomiono kształcenie w zawodzie monter mechatronik oraz technik logistyk. W 7 szkołach oraz 3 poradniach psychologiczno-pedagogicznych zatrudniono doradców zawodowych, których zadaniem jest kształtowanie i późniejsze monitorowanie ścieżki zawodowej absolwentów</w:t>
            </w:r>
            <w:r w:rsidR="00C4283C">
              <w:rPr>
                <w:rFonts w:ascii="Calibri" w:eastAsia="Calibri" w:hAnsi="Calibri" w:cs="Tahoma"/>
                <w:i/>
                <w:sz w:val="22"/>
                <w:szCs w:val="22"/>
              </w:rPr>
              <w:t>.</w:t>
            </w:r>
          </w:p>
          <w:p w:rsidR="00D4016C" w:rsidRDefault="00C4283C" w:rsidP="00C4283C">
            <w:pPr>
              <w:shd w:val="clear" w:color="auto" w:fill="FFFFFF"/>
              <w:spacing w:before="150" w:after="75"/>
              <w:jc w:val="both"/>
              <w:outlineLvl w:val="3"/>
              <w:rPr>
                <w:rFonts w:ascii="Calibri" w:eastAsia="Calibri" w:hAnsi="Calibri" w:cs="Tahoma"/>
                <w:i/>
                <w:sz w:val="22"/>
                <w:szCs w:val="22"/>
              </w:rPr>
            </w:pPr>
            <w:r w:rsidRPr="00C4283C">
              <w:rPr>
                <w:rFonts w:ascii="Calibri" w:eastAsia="Calibri" w:hAnsi="Calibri" w:cs="Tahoma"/>
                <w:i/>
                <w:sz w:val="22"/>
                <w:szCs w:val="22"/>
              </w:rPr>
              <w:t>Starostwo Powiatowe czynnie współpracuje z Powiatowym Urzędem Pracy, a także z przedsiębiorcami oraz uczelniami wyższymi.</w:t>
            </w:r>
            <w:r>
              <w:rPr>
                <w:rFonts w:ascii="Calibri" w:eastAsia="Calibri" w:hAnsi="Calibri" w:cs="Tahoma"/>
                <w:i/>
                <w:sz w:val="22"/>
                <w:szCs w:val="22"/>
              </w:rPr>
              <w:t xml:space="preserve"> </w:t>
            </w:r>
            <w:r w:rsidRPr="00C4283C">
              <w:rPr>
                <w:rFonts w:ascii="Calibri" w:eastAsia="Calibri" w:hAnsi="Calibri" w:cs="Tahoma"/>
                <w:i/>
                <w:sz w:val="22"/>
                <w:szCs w:val="22"/>
              </w:rPr>
              <w:t>PUP od 1999 r. przygotowuje cykliczne raporty na temat sytuacji absolwentów na rynku pracy, które są analizowane przez dyrektorów szkół, doradców zawodowych, pracowników Wydziału Edukacji Starostwa. Na ich podstawie określa się kierunki koniecznych zmian systemu kształcenia, uruchamiane są nowe kierunki, odpowiadające aktualnemu zapotrzebowaniu</w:t>
            </w:r>
            <w:r>
              <w:rPr>
                <w:rFonts w:ascii="Calibri" w:eastAsia="Calibri" w:hAnsi="Calibri" w:cs="Tahoma"/>
                <w:i/>
                <w:sz w:val="22"/>
                <w:szCs w:val="22"/>
              </w:rPr>
              <w:t>.</w:t>
            </w:r>
          </w:p>
          <w:p w:rsidR="00C4283C" w:rsidRPr="006D475C" w:rsidRDefault="00C4283C" w:rsidP="00C4283C">
            <w:pPr>
              <w:shd w:val="clear" w:color="auto" w:fill="FFFFFF"/>
              <w:spacing w:before="150" w:after="75"/>
              <w:jc w:val="both"/>
              <w:outlineLvl w:val="3"/>
              <w:rPr>
                <w:rFonts w:ascii="Calibri" w:eastAsia="Calibri" w:hAnsi="Calibri" w:cs="Tahoma"/>
                <w:i/>
                <w:sz w:val="22"/>
                <w:szCs w:val="22"/>
              </w:rPr>
            </w:pPr>
            <w:r>
              <w:rPr>
                <w:rFonts w:ascii="Calibri" w:eastAsia="Calibri" w:hAnsi="Calibri" w:cs="Tahoma"/>
                <w:i/>
                <w:sz w:val="22"/>
                <w:szCs w:val="22"/>
              </w:rPr>
              <w:t>Aby</w:t>
            </w:r>
            <w:r w:rsidRPr="00C4283C">
              <w:rPr>
                <w:rFonts w:ascii="Calibri" w:eastAsia="Calibri" w:hAnsi="Calibri" w:cs="Tahoma"/>
                <w:i/>
                <w:sz w:val="22"/>
                <w:szCs w:val="22"/>
              </w:rPr>
              <w:t xml:space="preserve"> zaadaptować ten pomysł </w:t>
            </w:r>
            <w:r>
              <w:rPr>
                <w:rFonts w:ascii="Calibri" w:eastAsia="Calibri" w:hAnsi="Calibri" w:cs="Tahoma"/>
                <w:i/>
                <w:sz w:val="22"/>
                <w:szCs w:val="22"/>
              </w:rPr>
              <w:t>Nowa S</w:t>
            </w:r>
            <w:r w:rsidRPr="006D475C">
              <w:rPr>
                <w:rFonts w:ascii="Calibri" w:eastAsia="Calibri" w:hAnsi="Calibri" w:cs="Tahoma"/>
                <w:i/>
                <w:sz w:val="22"/>
                <w:szCs w:val="22"/>
              </w:rPr>
              <w:t>ó</w:t>
            </w:r>
            <w:r>
              <w:rPr>
                <w:rFonts w:ascii="Calibri" w:eastAsia="Calibri" w:hAnsi="Calibri" w:cs="Tahoma"/>
                <w:i/>
                <w:sz w:val="22"/>
                <w:szCs w:val="22"/>
              </w:rPr>
              <w:t xml:space="preserve">l </w:t>
            </w:r>
            <w:r w:rsidRPr="00C4283C">
              <w:rPr>
                <w:rFonts w:ascii="Calibri" w:eastAsia="Calibri" w:hAnsi="Calibri" w:cs="Tahoma"/>
                <w:i/>
                <w:sz w:val="22"/>
                <w:szCs w:val="22"/>
              </w:rPr>
              <w:t>powinn</w:t>
            </w:r>
            <w:r>
              <w:rPr>
                <w:rFonts w:ascii="Calibri" w:eastAsia="Calibri" w:hAnsi="Calibri" w:cs="Tahoma"/>
                <w:i/>
                <w:sz w:val="22"/>
                <w:szCs w:val="22"/>
              </w:rPr>
              <w:t>a</w:t>
            </w:r>
            <w:r w:rsidRPr="00C4283C">
              <w:rPr>
                <w:rFonts w:ascii="Calibri" w:eastAsia="Calibri" w:hAnsi="Calibri" w:cs="Tahoma"/>
                <w:i/>
                <w:sz w:val="22"/>
                <w:szCs w:val="22"/>
              </w:rPr>
              <w:t xml:space="preserve"> określić zadania, zakres odpowiedzialności i zasady współpracy poszczególnych podmiotów (podpisać porozumienia czy listy intencyjne), co pozwoli na właściwe zaplanowanie w budżecie odpowiednich środków finansowych. Ważne jest też, aby raport dotyczący sytuacji absolwentów na rynku pracy był wykonywany cyklicznie.</w:t>
            </w:r>
          </w:p>
        </w:tc>
      </w:tr>
    </w:tbl>
    <w:p w:rsidR="00D4016C" w:rsidRPr="00295383" w:rsidRDefault="00D4016C" w:rsidP="00295383"/>
    <w:p w:rsidR="00124130" w:rsidRPr="00662F03" w:rsidRDefault="005433B6">
      <w:pPr>
        <w:rPr>
          <w:rFonts w:ascii="Calibri" w:hAnsi="Calibri"/>
        </w:rPr>
      </w:pPr>
      <w:r>
        <w:rPr>
          <w:rFonts w:ascii="Calibri" w:hAnsi="Calibri"/>
        </w:rPr>
      </w:r>
      <w:r w:rsidR="00072369">
        <w:rPr>
          <w:rFonts w:ascii="Calibri" w:hAnsi="Calibri"/>
        </w:rPr>
        <w:pict>
          <v:roundrect id="_x0000_s1052"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52;mso-fit-shape-to-text:t" inset=",,36pt,18pt">
              <w:txbxContent>
                <w:p w:rsidR="00D24064" w:rsidRPr="00EC0E96" w:rsidRDefault="00D24064" w:rsidP="00996028">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Mieszkańcy miasta twierdzą, że szkoły prowadzone przez gminę (podstawówki, gimnazja) dobrze przygotowują do zawodu lub do dalszej edukacji. Większość ważoną stanowi aż 87%. Przekonanie o tym wzrasta wraz ze spadkiem wykształcenia. Osoby z wykształceniem zasadniczym zawodowym i poniżej stanowią grupę, która najbardziej ze wszystkich utożsamia się z tym twierdzeniem. Większość ocenia, że poziom nauczania w podstawówkach i gimnazjach jest mniej ważny niż inne kryteria oceny atrakcyjności miasta. Waga tego kryterium w ocenie atrakcyjności miasta jako miejsca zamieszkania spada wraz z wiekiem oraz wykształceniem. Ważniejsza jest dla mężczyzn niż dla kobiet.</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b/>
          <w:shadow/>
          <w:color w:val="808080"/>
          <w:sz w:val="22"/>
        </w:rPr>
        <w:t>Wnioski:</w:t>
      </w:r>
      <w:r w:rsidRPr="00662F03">
        <w:rPr>
          <w:rFonts w:ascii="Calibri" w:hAnsi="Calibri" w:cs="Tahoma"/>
          <w:shadow/>
          <w:color w:val="808080"/>
          <w:sz w:val="22"/>
        </w:rPr>
        <w:t xml:space="preserve"> Poziom nauczania w szkołach podstawowych i gimnazjalnych oceniany jest przez mieszkańców stosunkowo dobrze. Sondaż wskazuje, że jest to mocna strona. Duży odsetek respondentów z oczywistych względów nie ma zdania na ten temat. Jest to ważne kryterium oceny atrakcyjności miasta pod względem zamieszkania dla osób w wieku 30-39, a zatem dla grupy, która w szkołach tych posiada dzieci. Realne wyniki poziomu nauczania w szkołach prowadzonych przez miasto nie potwierdzają bardzo dobrej sytuacji. W ramach strategii należy z pewnością planować działania na rzecz podwyższania poziomu nauczania.</w:t>
      </w:r>
    </w:p>
    <w:p w:rsidR="004952BE" w:rsidRPr="006A1ADF" w:rsidRDefault="00C23A61" w:rsidP="00C23A61">
      <w:pPr>
        <w:pStyle w:val="Legenda"/>
        <w:rPr>
          <w:rFonts w:ascii="Calibri" w:hAnsi="Calibri" w:cs="Tahoma"/>
          <w:b w:val="0"/>
          <w:shadow/>
          <w:color w:val="808080"/>
          <w:sz w:val="18"/>
        </w:rPr>
      </w:pPr>
      <w:bookmarkStart w:id="28" w:name="_Toc315790483"/>
      <w:r w:rsidRPr="006A1ADF">
        <w:rPr>
          <w:rFonts w:ascii="Calibri" w:hAnsi="Calibri"/>
          <w:b w:val="0"/>
          <w:sz w:val="18"/>
        </w:rPr>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14</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Rozkład odpowiedzi na pytanie, czy mieszkańcy zgadzają się z twierdzeniem, że szkoły prowadzone przez gminę (podstawówki, gimnazja) dobrze przygotowują do zawodu lub do dalszej edukacji.</w:t>
      </w:r>
      <w:bookmarkEnd w:id="28"/>
    </w:p>
    <w:p w:rsidR="00614BF3" w:rsidRPr="00662F03" w:rsidRDefault="005B1628" w:rsidP="00662F03">
      <w:pPr>
        <w:jc w:val="center"/>
        <w:rPr>
          <w:rFonts w:ascii="Calibri" w:hAnsi="Calibri"/>
        </w:rPr>
      </w:pPr>
      <w:r>
        <w:rPr>
          <w:rFonts w:ascii="Calibri" w:hAnsi="Calibri"/>
          <w:noProof/>
        </w:rPr>
        <w:drawing>
          <wp:inline distT="0" distB="0" distL="0" distR="0">
            <wp:extent cx="4778773" cy="2748118"/>
            <wp:effectExtent l="19050" t="0" r="21827" b="0"/>
            <wp:docPr id="18" name="Wykres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23A61" w:rsidRPr="006A1ADF" w:rsidRDefault="00C23A61" w:rsidP="00C23A61">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FA3B45" w:rsidRDefault="00FA3B45">
      <w:pPr>
        <w:rPr>
          <w:rFonts w:ascii="Calibri" w:hAnsi="Calibri"/>
        </w:rPr>
      </w:pPr>
      <w:bookmarkStart w:id="29" w:name="_Toc315790484"/>
      <w:r>
        <w:rPr>
          <w:rFonts w:ascii="Calibri" w:hAnsi="Calibri"/>
          <w:b/>
          <w:bCs/>
        </w:rPr>
        <w:br w:type="page"/>
      </w:r>
    </w:p>
    <w:p w:rsidR="00C23A61" w:rsidRPr="006A1ADF" w:rsidRDefault="00C23A61" w:rsidP="00C23A61">
      <w:pPr>
        <w:pStyle w:val="Legenda"/>
        <w:rPr>
          <w:rFonts w:ascii="Calibri" w:hAnsi="Calibri"/>
          <w:b w:val="0"/>
          <w:sz w:val="18"/>
        </w:rPr>
      </w:pPr>
      <w:r w:rsidRPr="006A1ADF">
        <w:rPr>
          <w:rFonts w:ascii="Calibri" w:hAnsi="Calibri"/>
          <w:b w:val="0"/>
          <w:sz w:val="18"/>
        </w:rPr>
        <w:lastRenderedPageBreak/>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15</w:t>
      </w:r>
      <w:r w:rsidR="005433B6" w:rsidRPr="006A1ADF">
        <w:rPr>
          <w:rFonts w:ascii="Calibri" w:hAnsi="Calibri"/>
          <w:b w:val="0"/>
          <w:sz w:val="18"/>
        </w:rPr>
        <w:fldChar w:fldCharType="end"/>
      </w:r>
      <w:r w:rsidRPr="006A1ADF">
        <w:rPr>
          <w:rFonts w:ascii="Calibri" w:hAnsi="Calibri"/>
          <w:b w:val="0"/>
          <w:sz w:val="18"/>
        </w:rPr>
        <w:t>.</w:t>
      </w:r>
      <w:r w:rsidR="006A1ADF" w:rsidRPr="006A1ADF">
        <w:rPr>
          <w:rFonts w:ascii="Calibri" w:hAnsi="Calibri"/>
          <w:b w:val="0"/>
          <w:sz w:val="18"/>
        </w:rPr>
        <w:t xml:space="preserve"> Średnia oceny, czy poziom nauczania w podstawówkach, gimnazjach ma znaczenie w atrakcyjności miasta jako miejsca zamieszkania.</w:t>
      </w:r>
      <w:bookmarkEnd w:id="29"/>
    </w:p>
    <w:p w:rsidR="00614BF3" w:rsidRPr="00662F03" w:rsidRDefault="005B1628" w:rsidP="00662F03">
      <w:pPr>
        <w:jc w:val="center"/>
        <w:rPr>
          <w:rFonts w:ascii="Calibri" w:hAnsi="Calibri"/>
        </w:rPr>
      </w:pPr>
      <w:r>
        <w:rPr>
          <w:rFonts w:ascii="Calibri" w:hAnsi="Calibri"/>
          <w:noProof/>
        </w:rPr>
        <w:drawing>
          <wp:inline distT="0" distB="0" distL="0" distR="0">
            <wp:extent cx="4891287" cy="2407876"/>
            <wp:effectExtent l="19050" t="0" r="23613" b="0"/>
            <wp:docPr id="19"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23A61" w:rsidRPr="006A1ADF" w:rsidRDefault="00C23A61" w:rsidP="00C23A61">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Mieszkańcy miasta twierdzą także, że szkoły prowadzone przez gminę są w dobrym stanie i są dobrze wyposażone. Większość ważoną stanowi aż 81%. Najmniej przekonani są o tym obywatele miasta z wyższym wykształceniem, a najbardziej osoby z wykształceniem zasadniczym zawodowym i poniżej. Również osoby w młodym wieku i najstarsza grupa respondentów jest mniej niż pozostałe grupy przekonana do tego twierdzenia. Większość ocenia, że stan techniczny i wyposażenie szkół jest mniej ważn</w:t>
      </w:r>
      <w:r w:rsidR="0004489D">
        <w:rPr>
          <w:rFonts w:ascii="Calibri" w:hAnsi="Calibri" w:cs="Tahoma"/>
          <w:shadow/>
          <w:color w:val="808080"/>
          <w:sz w:val="22"/>
        </w:rPr>
        <w:t>e</w:t>
      </w:r>
      <w:r w:rsidRPr="00662F03">
        <w:rPr>
          <w:rFonts w:ascii="Calibri" w:hAnsi="Calibri" w:cs="Tahoma"/>
          <w:shadow/>
          <w:color w:val="808080"/>
          <w:sz w:val="22"/>
        </w:rPr>
        <w:t xml:space="preserve"> niż inne kryteria oceny atrakcyjności miasta. Waga tego kryterium w ocenie atrakcyjności miasta jako miejsca zamieszkania spada wraz z wykształceniem, najwyższa jest w grupie 30-39 lat (rodzice dzieci uczęszczających do szkół prowadzonych przez gminę), w pozostałych kategoriach spada. Ważniejsza jest dla mężczyzn niż dla kobiet.</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b/>
          <w:shadow/>
          <w:color w:val="808080"/>
          <w:sz w:val="22"/>
        </w:rPr>
        <w:t>Wnioski:</w:t>
      </w:r>
      <w:r w:rsidRPr="00662F03">
        <w:rPr>
          <w:rFonts w:ascii="Calibri" w:hAnsi="Calibri" w:cs="Tahoma"/>
          <w:shadow/>
          <w:color w:val="808080"/>
          <w:sz w:val="22"/>
        </w:rPr>
        <w:t xml:space="preserve"> Stan techniczny i wyposażenie szkół prowadzonych przez gminę należy do jej mocnych stron. Należy utrzymywać stan zaspokojenia popytu w tym zakresie.</w:t>
      </w:r>
    </w:p>
    <w:p w:rsidR="00614BF3" w:rsidRPr="006A1ADF" w:rsidRDefault="00C23A61" w:rsidP="006A1ADF">
      <w:pPr>
        <w:pStyle w:val="Legenda"/>
        <w:jc w:val="both"/>
        <w:rPr>
          <w:rFonts w:ascii="Calibri" w:hAnsi="Calibri" w:cs="Tahoma"/>
          <w:b w:val="0"/>
          <w:shadow/>
          <w:color w:val="808080"/>
          <w:szCs w:val="22"/>
        </w:rPr>
      </w:pPr>
      <w:bookmarkStart w:id="30" w:name="_Toc315790485"/>
      <w:r w:rsidRPr="006A1ADF">
        <w:rPr>
          <w:rFonts w:ascii="Calibri" w:hAnsi="Calibri"/>
          <w:b w:val="0"/>
          <w:sz w:val="18"/>
        </w:rPr>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16</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Rozkład odpowiedzi na pytanie, czy szkoły prowadzone przez gminę są w dobrym stanie i są dobrze wyposażone.</w:t>
      </w:r>
      <w:bookmarkEnd w:id="30"/>
    </w:p>
    <w:p w:rsidR="00614BF3" w:rsidRPr="00662F03" w:rsidRDefault="005B1628" w:rsidP="00662F03">
      <w:pPr>
        <w:jc w:val="center"/>
        <w:rPr>
          <w:rFonts w:ascii="Calibri" w:hAnsi="Calibri"/>
        </w:rPr>
      </w:pPr>
      <w:r>
        <w:rPr>
          <w:rFonts w:ascii="Calibri" w:hAnsi="Calibri"/>
          <w:noProof/>
        </w:rPr>
        <w:drawing>
          <wp:inline distT="0" distB="0" distL="0" distR="0">
            <wp:extent cx="4917741" cy="3012815"/>
            <wp:effectExtent l="12192" t="6096" r="3382" b="514"/>
            <wp:docPr id="20" name="Wykres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23A61" w:rsidRPr="006A1ADF" w:rsidRDefault="00C23A61" w:rsidP="00C23A61">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FA3B45" w:rsidRDefault="00FA3B45">
      <w:pPr>
        <w:rPr>
          <w:rFonts w:ascii="Calibri" w:hAnsi="Calibri"/>
          <w:sz w:val="22"/>
        </w:rPr>
      </w:pPr>
      <w:bookmarkStart w:id="31" w:name="_Toc315790486"/>
      <w:r>
        <w:rPr>
          <w:rFonts w:ascii="Calibri" w:hAnsi="Calibri"/>
          <w:b/>
          <w:bCs/>
          <w:sz w:val="22"/>
        </w:rPr>
        <w:br w:type="page"/>
      </w:r>
    </w:p>
    <w:p w:rsidR="00C23A61" w:rsidRPr="006A1ADF" w:rsidRDefault="00C23A61" w:rsidP="006A1ADF">
      <w:pPr>
        <w:pStyle w:val="Legenda"/>
        <w:jc w:val="both"/>
        <w:rPr>
          <w:rFonts w:ascii="Calibri" w:hAnsi="Calibri"/>
          <w:b w:val="0"/>
          <w:sz w:val="18"/>
        </w:rPr>
      </w:pPr>
      <w:r w:rsidRPr="006A1ADF">
        <w:rPr>
          <w:rFonts w:ascii="Calibri" w:hAnsi="Calibri"/>
          <w:b w:val="0"/>
          <w:sz w:val="18"/>
        </w:rPr>
        <w:lastRenderedPageBreak/>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17</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Średnia oceny, czy stan techniczny i wyposażenie szkół ma znaczenie w atrakcyjności miasta jako miejsca zamieszkania.</w:t>
      </w:r>
      <w:bookmarkEnd w:id="31"/>
    </w:p>
    <w:p w:rsidR="00614BF3" w:rsidRPr="00662F03" w:rsidRDefault="005B1628" w:rsidP="00662F03">
      <w:pPr>
        <w:jc w:val="center"/>
        <w:rPr>
          <w:rFonts w:ascii="Calibri" w:hAnsi="Calibri"/>
        </w:rPr>
      </w:pPr>
      <w:r>
        <w:rPr>
          <w:rFonts w:ascii="Calibri" w:hAnsi="Calibri"/>
          <w:noProof/>
        </w:rPr>
        <w:drawing>
          <wp:inline distT="0" distB="0" distL="0" distR="0">
            <wp:extent cx="4746551" cy="2636874"/>
            <wp:effectExtent l="19050" t="0" r="15949" b="0"/>
            <wp:docPr id="2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23A61" w:rsidRPr="006A1ADF" w:rsidRDefault="00C23A61" w:rsidP="00C23A61">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Mieszkańcy twierdzą, że miasto jest „przyjazne” dla rodzin z małymi dziećmi, tzn. jest tu wiele placów zabaw, wystarczająco dużo żłobków lub przedszkoli. Twierdzi tak w ocenie ważonej 82% mieszkańców. Przekonanie o prawdziwości tego twierdzenia rośnie wraz ze spadkiem poziomu wykształcenia. Bardziej przekonane są o tym również kobiety niż mężczyźni. W grupie wiekowej rzadziej niż reprezentanci innych grup zadowolenie wyrażają osoby w wieku 30-39 lat. To, czy miasto jest przyjazne dla rodzin z małymi dziećmi jest oceniane jako ważne kryterium jakości życia. Oceny są jednolite w poszczególnych grupach respondentów, jedynie osoby z wykształceniem wyższym bardziej doceniają to kryterium, najmniej osoby w wieku 60 lat i powyżej.</w:t>
      </w:r>
    </w:p>
    <w:p w:rsidR="00614BF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b/>
          <w:shadow/>
          <w:color w:val="808080"/>
          <w:sz w:val="22"/>
        </w:rPr>
        <w:t>Wnioski:</w:t>
      </w:r>
      <w:r w:rsidRPr="00662F03">
        <w:rPr>
          <w:rFonts w:ascii="Calibri" w:hAnsi="Calibri" w:cs="Tahoma"/>
          <w:shadow/>
          <w:color w:val="808080"/>
          <w:sz w:val="22"/>
        </w:rPr>
        <w:t xml:space="preserve"> Oferta rekreacyjna i opiekuńcza dla rodzin z małymi dziećmi jest oceniana jako mocna strona miasta. Jest to też ważne kryterium oceny, czy warto tu mieszkać. W ramach strategii fakt ten powinien być oceniany jako szansa do wykorzystania, a infrastruktura powinna ulegać dalszej poprawie.</w:t>
      </w:r>
    </w:p>
    <w:p w:rsidR="00334D6E" w:rsidRPr="006A1ADF" w:rsidRDefault="00334D6E" w:rsidP="006A1ADF">
      <w:pPr>
        <w:pStyle w:val="Legenda"/>
        <w:jc w:val="both"/>
        <w:rPr>
          <w:rFonts w:ascii="Calibri" w:hAnsi="Calibri" w:cs="Tahoma"/>
          <w:b w:val="0"/>
          <w:shadow/>
          <w:color w:val="808080"/>
          <w:sz w:val="18"/>
        </w:rPr>
      </w:pPr>
      <w:bookmarkStart w:id="32" w:name="_Toc315790487"/>
      <w:r w:rsidRPr="006A1ADF">
        <w:rPr>
          <w:rFonts w:ascii="Calibri" w:hAnsi="Calibri"/>
          <w:b w:val="0"/>
          <w:sz w:val="18"/>
        </w:rPr>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18</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Rozkład odpowiedzi na pytanie, czy mieszkańcy zgadzają się z twierdzeniem, że miasto jest „przyjazne” dla rodzin z małymi dziećmi, tzn. jest tu wiele placów zabaw, wystarczająco dużo żłobków lub przedszkoli</w:t>
      </w:r>
      <w:r w:rsidR="006A1ADF">
        <w:rPr>
          <w:rFonts w:ascii="Calibri" w:hAnsi="Calibri"/>
          <w:b w:val="0"/>
          <w:sz w:val="18"/>
        </w:rPr>
        <w:t>.</w:t>
      </w:r>
      <w:bookmarkEnd w:id="32"/>
    </w:p>
    <w:p w:rsidR="00614BF3" w:rsidRPr="00662F03" w:rsidRDefault="005B1628" w:rsidP="00662F03">
      <w:pPr>
        <w:jc w:val="center"/>
        <w:rPr>
          <w:rFonts w:ascii="Calibri" w:hAnsi="Calibri"/>
        </w:rPr>
      </w:pPr>
      <w:r>
        <w:rPr>
          <w:rFonts w:ascii="Calibri" w:hAnsi="Calibri"/>
          <w:noProof/>
        </w:rPr>
        <w:drawing>
          <wp:inline distT="0" distB="0" distL="0" distR="0">
            <wp:extent cx="4989520" cy="3013931"/>
            <wp:effectExtent l="19050" t="0" r="20630" b="0"/>
            <wp:docPr id="22" name="Wykres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4D6E" w:rsidRPr="006A1ADF" w:rsidRDefault="00334D6E" w:rsidP="00334D6E">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334D6E" w:rsidRPr="006A1ADF" w:rsidRDefault="00334D6E" w:rsidP="00614BF3">
      <w:pPr>
        <w:jc w:val="both"/>
        <w:rPr>
          <w:rFonts w:ascii="Calibri" w:hAnsi="Calibri"/>
          <w:sz w:val="18"/>
        </w:rPr>
      </w:pPr>
    </w:p>
    <w:p w:rsidR="00334D6E" w:rsidRPr="006A1ADF" w:rsidRDefault="00334D6E" w:rsidP="00334D6E">
      <w:pPr>
        <w:pStyle w:val="Legenda"/>
        <w:rPr>
          <w:rFonts w:ascii="Calibri" w:hAnsi="Calibri"/>
          <w:b w:val="0"/>
          <w:sz w:val="18"/>
        </w:rPr>
      </w:pPr>
      <w:bookmarkStart w:id="33" w:name="_Toc315790488"/>
      <w:r w:rsidRPr="006A1ADF">
        <w:rPr>
          <w:rFonts w:ascii="Calibri" w:hAnsi="Calibri"/>
          <w:b w:val="0"/>
          <w:sz w:val="18"/>
        </w:rPr>
        <w:lastRenderedPageBreak/>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19</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Średnia oceny, czy to, że miasto jest przyjazne dla rodzin z małymi dziećmi, ma znaczenie w atrakcyjności miasta jako miejsca zamieszkania.</w:t>
      </w:r>
      <w:bookmarkEnd w:id="33"/>
    </w:p>
    <w:p w:rsidR="00614BF3" w:rsidRPr="00662F03" w:rsidRDefault="005B1628" w:rsidP="00662F03">
      <w:pPr>
        <w:jc w:val="center"/>
        <w:rPr>
          <w:rFonts w:ascii="Calibri" w:hAnsi="Calibri"/>
        </w:rPr>
      </w:pPr>
      <w:r>
        <w:rPr>
          <w:rFonts w:ascii="Calibri" w:hAnsi="Calibri"/>
          <w:noProof/>
        </w:rPr>
        <w:drawing>
          <wp:inline distT="0" distB="0" distL="0" distR="0">
            <wp:extent cx="4894348" cy="2758059"/>
            <wp:effectExtent l="12192" t="6096" r="5820" b="0"/>
            <wp:docPr id="1" name="Wykres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4D6E" w:rsidRPr="006A1ADF" w:rsidRDefault="00334D6E" w:rsidP="00334D6E">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shadow/>
          <w:color w:val="808080"/>
          <w:sz w:val="22"/>
        </w:rPr>
        <w:t>Mieszkańcy miasta twierdzą, że mieście lub w stosunkowo bliskiej okolicy absolwenci gimnazjów mogą znaleźć interesującą pod względem profilu nauczania szkołę zawodową lub średnią. Większość ważoną stanowi aż 91%. W dwóch grupach jest więcej osób zaprzeczających temu twierdzeniu niż w pozostałych. Są to osoby z wyższym wykształceniem oraz osoby starsze – 60 lat i powyżej, choć należy zaznaczyć, że żadną grupę nie zdominowały osoby zaprzeczające twierdzeniu. Większość ocenia, że oferta szkół zawodowych i średnich jest mniej ważna niż inne kryteria oceny atrakcyjności miasta. Waga tej oferty w ocenie atrakcyjności miasta jako miejsca zamieszkania spada wraz z wiekiem oraz wykształceniem. Ważniejsza jest dla mężczyzn niż dla kobiet.</w:t>
      </w:r>
    </w:p>
    <w:p w:rsidR="00614BF3" w:rsidRPr="00662F03" w:rsidRDefault="00614BF3" w:rsidP="00614BF3">
      <w:pPr>
        <w:shd w:val="clear" w:color="auto" w:fill="FFFFFF"/>
        <w:spacing w:before="150" w:after="75"/>
        <w:jc w:val="both"/>
        <w:outlineLvl w:val="3"/>
        <w:rPr>
          <w:rFonts w:ascii="Calibri" w:hAnsi="Calibri" w:cs="Tahoma"/>
          <w:shadow/>
          <w:color w:val="808080"/>
          <w:sz w:val="22"/>
        </w:rPr>
      </w:pPr>
      <w:r w:rsidRPr="00662F03">
        <w:rPr>
          <w:rFonts w:ascii="Calibri" w:hAnsi="Calibri" w:cs="Tahoma"/>
          <w:b/>
          <w:shadow/>
          <w:color w:val="808080"/>
          <w:sz w:val="22"/>
        </w:rPr>
        <w:t>Wnioski:</w:t>
      </w:r>
      <w:r w:rsidRPr="00662F03">
        <w:rPr>
          <w:rFonts w:ascii="Calibri" w:hAnsi="Calibri" w:cs="Tahoma"/>
          <w:shadow/>
          <w:color w:val="808080"/>
          <w:sz w:val="22"/>
        </w:rPr>
        <w:t xml:space="preserve"> Oferta szkół zawodowych i średnich w mieście lub stosunkowo bliskiej okolicy jest uważana za mocną stronę miasta, choć nie jest dla mieszkańców ważnym kryterium oceny atrakcyjności miejsca zamieszkania. Należy zatem dążyć do utrzymania stanu zaspokojenia popytu w tym zakresie.</w:t>
      </w:r>
    </w:p>
    <w:p w:rsidR="00614BF3" w:rsidRPr="006A1ADF" w:rsidRDefault="00334D6E" w:rsidP="006A1ADF">
      <w:pPr>
        <w:pStyle w:val="Legenda"/>
        <w:jc w:val="both"/>
        <w:rPr>
          <w:rFonts w:ascii="Calibri" w:hAnsi="Calibri" w:cs="Tahoma"/>
          <w:b w:val="0"/>
          <w:shadow/>
          <w:color w:val="808080"/>
          <w:szCs w:val="22"/>
        </w:rPr>
      </w:pPr>
      <w:bookmarkStart w:id="34" w:name="_Toc315790489"/>
      <w:r w:rsidRPr="006A1ADF">
        <w:rPr>
          <w:rFonts w:ascii="Calibri" w:hAnsi="Calibri"/>
          <w:b w:val="0"/>
          <w:sz w:val="18"/>
        </w:rPr>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20</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Rozkład odpowiedzi na pytanie, czy mieszkańcy zgadzają się z twierdzeniem, że w mieście lub w stosunkowo bliskiej okolicy absolwenci gimnazjów mogą znaleźć interesującą pod względem profilu nauczania szkołę zawodową lub średnią.</w:t>
      </w:r>
      <w:bookmarkEnd w:id="34"/>
    </w:p>
    <w:p w:rsidR="00614BF3" w:rsidRPr="00662F03" w:rsidRDefault="005B1628" w:rsidP="00662F03">
      <w:pPr>
        <w:jc w:val="center"/>
        <w:rPr>
          <w:rFonts w:ascii="Calibri" w:hAnsi="Calibri"/>
        </w:rPr>
      </w:pPr>
      <w:r>
        <w:rPr>
          <w:rFonts w:ascii="Calibri" w:hAnsi="Calibri"/>
          <w:noProof/>
        </w:rPr>
        <w:drawing>
          <wp:inline distT="0" distB="0" distL="0" distR="0">
            <wp:extent cx="4827100" cy="3045714"/>
            <wp:effectExtent l="19050" t="0" r="11600" b="2286"/>
            <wp:docPr id="24" name="Wykres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334D6E" w:rsidRPr="006A1ADF" w:rsidRDefault="00334D6E" w:rsidP="00334D6E">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334D6E" w:rsidRPr="00295383" w:rsidRDefault="00334D6E" w:rsidP="00614BF3">
      <w:pPr>
        <w:jc w:val="both"/>
        <w:rPr>
          <w:rFonts w:ascii="Calibri" w:hAnsi="Calibri"/>
          <w:sz w:val="20"/>
        </w:rPr>
      </w:pPr>
    </w:p>
    <w:p w:rsidR="00334D6E" w:rsidRPr="006A1ADF" w:rsidRDefault="00334D6E" w:rsidP="00334D6E">
      <w:pPr>
        <w:pStyle w:val="Legenda"/>
        <w:rPr>
          <w:rFonts w:ascii="Calibri" w:hAnsi="Calibri"/>
          <w:b w:val="0"/>
          <w:sz w:val="18"/>
        </w:rPr>
      </w:pPr>
      <w:bookmarkStart w:id="35" w:name="_Toc315790490"/>
      <w:r w:rsidRPr="006A1ADF">
        <w:rPr>
          <w:rFonts w:ascii="Calibri" w:hAnsi="Calibri"/>
          <w:b w:val="0"/>
          <w:sz w:val="18"/>
        </w:rPr>
        <w:t xml:space="preserve">Wykres </w:t>
      </w:r>
      <w:r w:rsidR="005433B6" w:rsidRPr="006A1ADF">
        <w:rPr>
          <w:rFonts w:ascii="Calibri" w:hAnsi="Calibri"/>
          <w:b w:val="0"/>
          <w:sz w:val="18"/>
        </w:rPr>
        <w:fldChar w:fldCharType="begin"/>
      </w:r>
      <w:r w:rsidRPr="006A1ADF">
        <w:rPr>
          <w:rFonts w:ascii="Calibri" w:hAnsi="Calibri"/>
          <w:b w:val="0"/>
          <w:sz w:val="18"/>
        </w:rPr>
        <w:instrText xml:space="preserve"> SEQ Wykres \* ARABIC </w:instrText>
      </w:r>
      <w:r w:rsidR="005433B6" w:rsidRPr="006A1ADF">
        <w:rPr>
          <w:rFonts w:ascii="Calibri" w:hAnsi="Calibri"/>
          <w:b w:val="0"/>
          <w:sz w:val="18"/>
        </w:rPr>
        <w:fldChar w:fldCharType="separate"/>
      </w:r>
      <w:r w:rsidR="00D377D1" w:rsidRPr="006A1ADF">
        <w:rPr>
          <w:rFonts w:ascii="Calibri" w:hAnsi="Calibri"/>
          <w:b w:val="0"/>
          <w:noProof/>
          <w:sz w:val="18"/>
        </w:rPr>
        <w:t>21</w:t>
      </w:r>
      <w:r w:rsidR="005433B6" w:rsidRPr="006A1ADF">
        <w:rPr>
          <w:rFonts w:ascii="Calibri" w:hAnsi="Calibri"/>
          <w:b w:val="0"/>
          <w:sz w:val="18"/>
        </w:rPr>
        <w:fldChar w:fldCharType="end"/>
      </w:r>
      <w:r w:rsidRPr="006A1ADF">
        <w:rPr>
          <w:rFonts w:ascii="Calibri" w:hAnsi="Calibri"/>
          <w:b w:val="0"/>
          <w:sz w:val="18"/>
        </w:rPr>
        <w:t>.</w:t>
      </w:r>
      <w:r w:rsidR="006A1ADF" w:rsidRPr="006A1ADF">
        <w:rPr>
          <w:sz w:val="18"/>
        </w:rPr>
        <w:t xml:space="preserve"> </w:t>
      </w:r>
      <w:r w:rsidR="006A1ADF" w:rsidRPr="006A1ADF">
        <w:rPr>
          <w:rFonts w:ascii="Calibri" w:hAnsi="Calibri"/>
          <w:b w:val="0"/>
          <w:sz w:val="18"/>
        </w:rPr>
        <w:t>Średnia oceny, czy oferta edukacyjna dla absolwentów gimnazjów ma znaczenie w atrakcyjności miasta jako miejsca zamieszkania.</w:t>
      </w:r>
      <w:bookmarkEnd w:id="35"/>
    </w:p>
    <w:p w:rsidR="00614BF3" w:rsidRPr="00662F03" w:rsidRDefault="005B1628" w:rsidP="00662F03">
      <w:pPr>
        <w:jc w:val="center"/>
        <w:rPr>
          <w:rFonts w:ascii="Calibri" w:hAnsi="Calibri"/>
        </w:rPr>
      </w:pPr>
      <w:r>
        <w:rPr>
          <w:rFonts w:ascii="Calibri" w:hAnsi="Calibri"/>
          <w:noProof/>
        </w:rPr>
        <w:drawing>
          <wp:inline distT="0" distB="0" distL="0" distR="0">
            <wp:extent cx="4756629" cy="2811399"/>
            <wp:effectExtent l="19050" t="0" r="24921" b="8001"/>
            <wp:docPr id="25"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334D6E" w:rsidRPr="006A1ADF" w:rsidRDefault="00334D6E" w:rsidP="00334D6E">
      <w:pPr>
        <w:jc w:val="both"/>
        <w:rPr>
          <w:rFonts w:ascii="Calibri" w:hAnsi="Calibri" w:cs="Calibri"/>
          <w:noProof/>
          <w:sz w:val="18"/>
          <w:szCs w:val="20"/>
        </w:rPr>
      </w:pPr>
      <w:r w:rsidRPr="006A1ADF">
        <w:rPr>
          <w:rFonts w:ascii="Calibri" w:hAnsi="Calibri" w:cs="Calibri"/>
          <w:noProof/>
          <w:sz w:val="18"/>
          <w:szCs w:val="20"/>
        </w:rPr>
        <w:t>Źródło: opracowanie własne na podstawie wyników badań ankietowych.</w:t>
      </w:r>
    </w:p>
    <w:p w:rsidR="00614BF3" w:rsidRPr="00662F03" w:rsidRDefault="00614BF3">
      <w:pPr>
        <w:rPr>
          <w:rFonts w:ascii="Calibri" w:hAnsi="Calibri"/>
          <w:noProof/>
          <w:sz w:val="20"/>
          <w:szCs w:val="20"/>
        </w:rPr>
      </w:pPr>
    </w:p>
    <w:p w:rsidR="00DB4C88" w:rsidRPr="00662F03" w:rsidRDefault="005433B6" w:rsidP="004E5A9A">
      <w:pPr>
        <w:rPr>
          <w:rFonts w:ascii="Calibri" w:hAnsi="Calibri"/>
          <w:sz w:val="20"/>
          <w:szCs w:val="20"/>
        </w:rPr>
      </w:pPr>
      <w:r>
        <w:rPr>
          <w:rFonts w:ascii="Calibri" w:hAnsi="Calibri"/>
          <w:sz w:val="20"/>
          <w:szCs w:val="20"/>
        </w:rPr>
      </w:r>
      <w:r w:rsidR="00D24064">
        <w:rPr>
          <w:rFonts w:ascii="Calibri" w:hAnsi="Calibri"/>
          <w:sz w:val="20"/>
          <w:szCs w:val="20"/>
        </w:rPr>
        <w:pict>
          <v:rect id="_x0000_s1051" style="width:449.8pt;height:250.85pt;rotation:-360;mso-position-horizontal-relative:char;mso-position-vertical-relative:line" o:allowincell="f" fillcolor="#a7bfde" stroked="f">
            <v:fill opacity="13107f"/>
            <v:imagedata embosscolor="shadow add(51)"/>
            <v:shadow on="t" color="#d4cfb3" opacity=".5" offset="19pt,-21pt" offset2="26pt,-30pt"/>
            <v:textbox style="mso-next-textbox:#_x0000_s1051;mso-fit-shape-to-text:t" inset="28.8pt,7.2pt,14.4pt,28.8pt">
              <w:txbxContent>
                <w:p w:rsidR="00D24064" w:rsidRPr="00EC0E96" w:rsidRDefault="00D24064" w:rsidP="00DB4C88">
                  <w:pPr>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040082">
                  <w:pPr>
                    <w:jc w:val="both"/>
                    <w:rPr>
                      <w:rFonts w:ascii="Calibri" w:hAnsi="Calibri"/>
                      <w:bCs/>
                      <w:i/>
                      <w:iCs/>
                      <w:color w:val="1F497D"/>
                      <w:sz w:val="22"/>
                      <w:szCs w:val="28"/>
                    </w:rPr>
                  </w:pPr>
                  <w:r>
                    <w:rPr>
                      <w:rFonts w:ascii="Calibri" w:hAnsi="Calibri"/>
                      <w:bCs/>
                      <w:i/>
                      <w:iCs/>
                      <w:color w:val="1F497D"/>
                      <w:sz w:val="22"/>
                      <w:szCs w:val="28"/>
                    </w:rPr>
                    <w:t xml:space="preserve">Baza edukacyjna w Nowej Soli jest wystarczająca. </w:t>
                  </w:r>
                  <w:r w:rsidRPr="00EC0E96">
                    <w:rPr>
                      <w:rFonts w:ascii="Calibri" w:hAnsi="Calibri"/>
                      <w:bCs/>
                      <w:i/>
                      <w:iCs/>
                      <w:color w:val="1F497D"/>
                      <w:sz w:val="22"/>
                      <w:szCs w:val="28"/>
                    </w:rPr>
                    <w:t xml:space="preserve">Placówki oświatowe </w:t>
                  </w:r>
                  <w:r>
                    <w:rPr>
                      <w:rFonts w:ascii="Calibri" w:hAnsi="Calibri"/>
                      <w:bCs/>
                      <w:i/>
                      <w:iCs/>
                      <w:color w:val="1F497D"/>
                      <w:sz w:val="22"/>
                      <w:szCs w:val="28"/>
                    </w:rPr>
                    <w:t>są coraz lepiej wyposażone</w:t>
                  </w:r>
                  <w:r w:rsidRPr="00EC0E96">
                    <w:rPr>
                      <w:rFonts w:ascii="Calibri" w:hAnsi="Calibri"/>
                      <w:bCs/>
                      <w:i/>
                      <w:iCs/>
                      <w:color w:val="1F497D"/>
                      <w:sz w:val="22"/>
                      <w:szCs w:val="28"/>
                    </w:rPr>
                    <w:t>.</w:t>
                  </w:r>
                  <w:r>
                    <w:rPr>
                      <w:rFonts w:ascii="Calibri" w:hAnsi="Calibri"/>
                      <w:bCs/>
                      <w:i/>
                      <w:iCs/>
                      <w:color w:val="1F497D"/>
                      <w:sz w:val="22"/>
                      <w:szCs w:val="28"/>
                    </w:rPr>
                    <w:t xml:space="preserve"> Należy utrzymywać ten stan poprzez stałe </w:t>
                  </w:r>
                  <w:r w:rsidRPr="00EC0E96">
                    <w:rPr>
                      <w:rFonts w:ascii="Calibri" w:hAnsi="Calibri"/>
                      <w:bCs/>
                      <w:i/>
                      <w:iCs/>
                      <w:color w:val="1F497D"/>
                      <w:sz w:val="22"/>
                      <w:szCs w:val="28"/>
                    </w:rPr>
                    <w:t>doinwestow</w:t>
                  </w:r>
                  <w:r>
                    <w:rPr>
                      <w:rFonts w:ascii="Calibri" w:hAnsi="Calibri"/>
                      <w:bCs/>
                      <w:i/>
                      <w:iCs/>
                      <w:color w:val="1F497D"/>
                      <w:sz w:val="22"/>
                      <w:szCs w:val="28"/>
                    </w:rPr>
                    <w:t>ywanie</w:t>
                  </w:r>
                  <w:r w:rsidRPr="00EC0E96">
                    <w:rPr>
                      <w:rFonts w:ascii="Calibri" w:hAnsi="Calibri"/>
                      <w:bCs/>
                      <w:i/>
                      <w:iCs/>
                      <w:color w:val="1F497D"/>
                      <w:sz w:val="22"/>
                      <w:szCs w:val="28"/>
                    </w:rPr>
                    <w:t xml:space="preserve"> i </w:t>
                  </w:r>
                  <w:r>
                    <w:rPr>
                      <w:rFonts w:ascii="Calibri" w:hAnsi="Calibri"/>
                      <w:bCs/>
                      <w:i/>
                      <w:iCs/>
                      <w:color w:val="1F497D"/>
                      <w:sz w:val="22"/>
                      <w:szCs w:val="28"/>
                    </w:rPr>
                    <w:t>doposażenie szkół</w:t>
                  </w:r>
                  <w:r w:rsidRPr="00EC0E96">
                    <w:rPr>
                      <w:rFonts w:ascii="Calibri" w:hAnsi="Calibri"/>
                      <w:bCs/>
                      <w:i/>
                      <w:iCs/>
                      <w:color w:val="1F497D"/>
                      <w:sz w:val="22"/>
                      <w:szCs w:val="28"/>
                    </w:rPr>
                    <w:t xml:space="preserve"> w nowoczesne środki dydaktyczne oraz sprzęt, przede wszystkim informatyczny oraz do zajęć sportowych</w:t>
                  </w:r>
                  <w:r>
                    <w:rPr>
                      <w:rFonts w:ascii="Calibri" w:hAnsi="Calibri"/>
                      <w:bCs/>
                      <w:i/>
                      <w:iCs/>
                      <w:color w:val="1F497D"/>
                      <w:sz w:val="22"/>
                      <w:szCs w:val="28"/>
                    </w:rPr>
                    <w:t>.</w:t>
                  </w:r>
                </w:p>
                <w:p w:rsidR="00D24064" w:rsidRPr="00EC0E96" w:rsidRDefault="00D24064" w:rsidP="00DB4C88">
                  <w:pPr>
                    <w:jc w:val="both"/>
                    <w:rPr>
                      <w:rFonts w:ascii="Calibri" w:hAnsi="Calibri"/>
                      <w:bCs/>
                      <w:i/>
                      <w:iCs/>
                      <w:color w:val="1F497D"/>
                      <w:sz w:val="22"/>
                      <w:szCs w:val="28"/>
                    </w:rPr>
                  </w:pPr>
                  <w:r>
                    <w:rPr>
                      <w:rFonts w:ascii="Calibri" w:hAnsi="Calibri"/>
                      <w:bCs/>
                      <w:i/>
                      <w:iCs/>
                      <w:color w:val="1F497D"/>
                      <w:sz w:val="22"/>
                      <w:szCs w:val="28"/>
                    </w:rPr>
                    <w:t xml:space="preserve">Pomimo pozytywnej oceny przez mieszkańców poziomu nauczania w szkołach podstawowych i gimnazjalnych, dobrej sytuacji nie potwierdzają średnie wyniki egzaminów gimnazjalnych i sprawdzianu w klasach VI w Nowej Soli. </w:t>
                  </w:r>
                  <w:r w:rsidRPr="00EC0E96">
                    <w:rPr>
                      <w:rFonts w:ascii="Calibri" w:hAnsi="Calibri"/>
                      <w:bCs/>
                      <w:i/>
                      <w:iCs/>
                      <w:color w:val="1F497D"/>
                      <w:sz w:val="22"/>
                      <w:szCs w:val="28"/>
                    </w:rPr>
                    <w:t>Niezbędne jest odpowiednie inwestowanie w kapitał ludzki, aby zapewnić</w:t>
                  </w:r>
                  <w:r>
                    <w:rPr>
                      <w:rFonts w:ascii="Calibri" w:hAnsi="Calibri"/>
                      <w:bCs/>
                      <w:i/>
                      <w:iCs/>
                      <w:color w:val="1F497D"/>
                      <w:sz w:val="22"/>
                      <w:szCs w:val="28"/>
                    </w:rPr>
                    <w:t xml:space="preserve"> odpowiednią jakość i poziom kształcenia. </w:t>
                  </w:r>
                  <w:r w:rsidRPr="00EC0E96">
                    <w:rPr>
                      <w:rFonts w:ascii="Calibri" w:hAnsi="Calibri"/>
                      <w:bCs/>
                      <w:i/>
                      <w:iCs/>
                      <w:color w:val="1F497D"/>
                      <w:sz w:val="22"/>
                      <w:szCs w:val="28"/>
                    </w:rPr>
                    <w:t>Najważniejszymi czynnikami zmian w szkolnictwie są trendy demograficzne i dostosowanie do rynku pracy. Dlatego ważne jest prowadzenie kampanii promującej kształcenie zawodowe oraz aktywizowanie w tym zakresie pracodawców.</w:t>
                  </w:r>
                </w:p>
                <w:p w:rsidR="00D24064" w:rsidRDefault="00D24064" w:rsidP="00DB4C88">
                  <w:pPr>
                    <w:jc w:val="both"/>
                    <w:rPr>
                      <w:rFonts w:ascii="Calibri" w:hAnsi="Calibri"/>
                      <w:bCs/>
                      <w:i/>
                      <w:iCs/>
                      <w:color w:val="1F497D"/>
                      <w:sz w:val="22"/>
                      <w:szCs w:val="28"/>
                    </w:rPr>
                  </w:pPr>
                  <w:r w:rsidRPr="00EC0E96">
                    <w:rPr>
                      <w:rFonts w:ascii="Calibri" w:hAnsi="Calibri"/>
                      <w:bCs/>
                      <w:i/>
                      <w:iCs/>
                      <w:color w:val="1F497D"/>
                      <w:sz w:val="22"/>
                      <w:szCs w:val="28"/>
                    </w:rPr>
                    <w:t>Jak wykazała analiza miejsc w przedszkolach jest mniej niż dzieci uczęszczających, nadal popyt na miejsca w przedszkolach jest niezaspokojony. Sytuacja ta jednak będzie się zmieniać zarówno z powodu nadchodzącego niżu demograficznego, powstawania prywatnych placówek, jak i skrócenia okresu przedszkolnego.</w:t>
                  </w:r>
                </w:p>
                <w:p w:rsidR="00D24064" w:rsidRPr="00EC0E96" w:rsidRDefault="00D24064" w:rsidP="00DB4C88">
                  <w:pPr>
                    <w:jc w:val="both"/>
                    <w:rPr>
                      <w:rFonts w:ascii="Calibri" w:hAnsi="Calibri"/>
                      <w:bCs/>
                      <w:i/>
                      <w:iCs/>
                      <w:color w:val="1F497D"/>
                      <w:sz w:val="22"/>
                      <w:szCs w:val="28"/>
                    </w:rPr>
                  </w:pPr>
                  <w:r>
                    <w:rPr>
                      <w:rFonts w:ascii="Calibri" w:hAnsi="Calibri"/>
                      <w:bCs/>
                      <w:i/>
                      <w:iCs/>
                      <w:color w:val="1F497D"/>
                      <w:sz w:val="22"/>
                      <w:szCs w:val="28"/>
                    </w:rPr>
                    <w:t>S</w:t>
                  </w:r>
                  <w:r w:rsidRPr="00D01F6F">
                    <w:rPr>
                      <w:rFonts w:ascii="Calibri" w:hAnsi="Calibri"/>
                      <w:bCs/>
                      <w:i/>
                      <w:iCs/>
                      <w:color w:val="1F497D"/>
                      <w:sz w:val="22"/>
                      <w:szCs w:val="28"/>
                    </w:rPr>
                    <w:t>tosunkowo dobrze rozwinięta jest sieć kształcenia profilowanego i zawodowego</w:t>
                  </w:r>
                  <w:r>
                    <w:rPr>
                      <w:rFonts w:ascii="Calibri" w:hAnsi="Calibri"/>
                      <w:bCs/>
                      <w:i/>
                      <w:iCs/>
                      <w:color w:val="1F497D"/>
                      <w:sz w:val="22"/>
                      <w:szCs w:val="28"/>
                    </w:rPr>
                    <w:t xml:space="preserve">, jednak </w:t>
                  </w:r>
                  <w:r w:rsidRPr="00926721">
                    <w:rPr>
                      <w:rFonts w:ascii="Calibri" w:hAnsi="Calibri"/>
                      <w:bCs/>
                      <w:i/>
                      <w:iCs/>
                      <w:color w:val="1F497D"/>
                      <w:sz w:val="22"/>
                      <w:szCs w:val="28"/>
                    </w:rPr>
                    <w:t>należy dążyć do poprawy jakości i dostępności ustawicznego kształcenia i szkolenia zawodowego</w:t>
                  </w:r>
                  <w:r>
                    <w:rPr>
                      <w:rFonts w:ascii="Calibri" w:hAnsi="Calibri"/>
                      <w:bCs/>
                      <w:i/>
                      <w:iCs/>
                      <w:color w:val="1F497D"/>
                      <w:sz w:val="22"/>
                      <w:szCs w:val="28"/>
                    </w:rPr>
                    <w:t>.</w:t>
                  </w:r>
                </w:p>
              </w:txbxContent>
            </v:textbox>
            <w10:wrap type="none" anchorx="margin" anchory="page"/>
            <w10:anchorlock/>
          </v:rect>
        </w:pict>
      </w:r>
    </w:p>
    <w:p w:rsidR="00DB4C88" w:rsidRPr="00662F03" w:rsidRDefault="00DB4C88" w:rsidP="004E5A9A">
      <w:pPr>
        <w:autoSpaceDE w:val="0"/>
        <w:autoSpaceDN w:val="0"/>
        <w:adjustRightInd w:val="0"/>
        <w:jc w:val="both"/>
        <w:rPr>
          <w:rFonts w:ascii="Calibri" w:hAnsi="Calibri"/>
          <w:sz w:val="22"/>
          <w:szCs w:val="22"/>
        </w:rPr>
      </w:pPr>
    </w:p>
    <w:p w:rsidR="002F0A89" w:rsidRPr="00662F03" w:rsidRDefault="002F0A89" w:rsidP="004E5A9A">
      <w:pPr>
        <w:autoSpaceDE w:val="0"/>
        <w:autoSpaceDN w:val="0"/>
        <w:adjustRightInd w:val="0"/>
        <w:jc w:val="both"/>
        <w:rPr>
          <w:rFonts w:ascii="Calibri" w:hAnsi="Calibri"/>
          <w:b/>
          <w:color w:val="365F91"/>
          <w:sz w:val="22"/>
          <w:szCs w:val="22"/>
        </w:rPr>
      </w:pPr>
      <w:r w:rsidRPr="00662F03">
        <w:rPr>
          <w:rFonts w:ascii="Calibri" w:hAnsi="Calibri"/>
          <w:b/>
          <w:color w:val="365F91"/>
          <w:sz w:val="22"/>
          <w:szCs w:val="22"/>
        </w:rPr>
        <w:t>Komputeryzacja i dostęp do Internetu</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Polepsza się wyposażenie placówek oświatowych w sprzęt komputerowy. W roku 2009 komputery dla uczniów (z dostępem do Internetu) posiada</w:t>
      </w:r>
      <w:r w:rsidR="00E87ACB" w:rsidRPr="00662F03">
        <w:rPr>
          <w:rFonts w:ascii="Calibri" w:hAnsi="Calibri" w:cs="Tahoma"/>
          <w:sz w:val="22"/>
          <w:szCs w:val="22"/>
        </w:rPr>
        <w:t>ły wszystkie szkoły</w:t>
      </w:r>
      <w:r w:rsidRPr="00662F03">
        <w:rPr>
          <w:rFonts w:ascii="Calibri" w:hAnsi="Calibri" w:cs="Tahoma"/>
          <w:sz w:val="22"/>
          <w:szCs w:val="22"/>
        </w:rPr>
        <w:t xml:space="preserve"> podstawow</w:t>
      </w:r>
      <w:r w:rsidR="00E87ACB" w:rsidRPr="00662F03">
        <w:rPr>
          <w:rFonts w:ascii="Calibri" w:hAnsi="Calibri" w:cs="Tahoma"/>
          <w:sz w:val="22"/>
          <w:szCs w:val="22"/>
        </w:rPr>
        <w:t>e</w:t>
      </w:r>
      <w:r w:rsidRPr="00662F03">
        <w:rPr>
          <w:rFonts w:ascii="Calibri" w:hAnsi="Calibri" w:cs="Tahoma"/>
          <w:sz w:val="22"/>
          <w:szCs w:val="22"/>
        </w:rPr>
        <w:t xml:space="preserve"> oraz gimnazj</w:t>
      </w:r>
      <w:r w:rsidR="00E87ACB" w:rsidRPr="00662F03">
        <w:rPr>
          <w:rFonts w:ascii="Calibri" w:hAnsi="Calibri" w:cs="Tahoma"/>
          <w:sz w:val="22"/>
          <w:szCs w:val="22"/>
        </w:rPr>
        <w:t>a</w:t>
      </w:r>
      <w:r w:rsidRPr="00662F03">
        <w:rPr>
          <w:rFonts w:ascii="Calibri" w:hAnsi="Calibri" w:cs="Tahoma"/>
          <w:sz w:val="22"/>
          <w:szCs w:val="22"/>
        </w:rPr>
        <w:t xml:space="preserve">. Na 1 komputer z dostępem do Internetu przeznaczony do użytku uczniów przypada w szkole podstawowej 10 uczniów, a w gimnazjum ok. 17 uczniów. W szkołach ponadgimnazjalnych sytuacja wygląda nieco gorzej, tylko 72% szkół jest wyposażonych w komputery z dostępem do Internetu (w tym: szkoły zawodowe – 75%, zasadnicze szkoły zawodowe – 66%, technika (wraz z ogólnokształcącymi szkołami </w:t>
      </w:r>
      <w:r w:rsidRPr="00662F03">
        <w:rPr>
          <w:rFonts w:ascii="Calibri" w:hAnsi="Calibri" w:cs="Tahoma"/>
          <w:sz w:val="22"/>
          <w:szCs w:val="22"/>
        </w:rPr>
        <w:lastRenderedPageBreak/>
        <w:t>artystycznymi dającymi uprawnienia zawodowe) – 100%, licea profilowane – 50%, lice</w:t>
      </w:r>
      <w:r w:rsidR="00C956F7" w:rsidRPr="00662F03">
        <w:rPr>
          <w:rFonts w:ascii="Calibri" w:hAnsi="Calibri" w:cs="Tahoma"/>
          <w:sz w:val="22"/>
          <w:szCs w:val="22"/>
        </w:rPr>
        <w:t>a ogólnokształcące – 66%).</w:t>
      </w:r>
    </w:p>
    <w:p w:rsidR="002F0A89" w:rsidRPr="00662F03" w:rsidRDefault="002F0A89" w:rsidP="004E5A9A">
      <w:pPr>
        <w:rPr>
          <w:rFonts w:ascii="Calibri" w:hAnsi="Calibri"/>
          <w:sz w:val="22"/>
          <w:szCs w:val="22"/>
        </w:rPr>
      </w:pPr>
    </w:p>
    <w:p w:rsidR="002F0A89" w:rsidRPr="00662F03" w:rsidRDefault="002F0A89" w:rsidP="004E5A9A">
      <w:pPr>
        <w:rPr>
          <w:rFonts w:ascii="Calibri" w:hAnsi="Calibri"/>
          <w:b/>
          <w:color w:val="365F91"/>
          <w:sz w:val="22"/>
          <w:szCs w:val="22"/>
        </w:rPr>
      </w:pPr>
      <w:r w:rsidRPr="00662F03">
        <w:rPr>
          <w:rFonts w:ascii="Calibri" w:hAnsi="Calibri"/>
          <w:b/>
          <w:color w:val="365F91"/>
          <w:sz w:val="22"/>
          <w:szCs w:val="22"/>
        </w:rPr>
        <w:t>Szkolnictwo wyższe</w:t>
      </w:r>
    </w:p>
    <w:p w:rsidR="002F0A89" w:rsidRPr="00662F03" w:rsidRDefault="002F0A89" w:rsidP="00835A51">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funkcjon</w:t>
      </w:r>
      <w:r w:rsidR="00835A51">
        <w:rPr>
          <w:rFonts w:ascii="Calibri" w:hAnsi="Calibri" w:cs="Tahoma"/>
          <w:sz w:val="22"/>
          <w:szCs w:val="22"/>
        </w:rPr>
        <w:t xml:space="preserve">ował </w:t>
      </w:r>
      <w:r w:rsidRPr="00662F03">
        <w:rPr>
          <w:rFonts w:ascii="Calibri" w:hAnsi="Calibri" w:cs="Tahoma"/>
          <w:sz w:val="22"/>
          <w:szCs w:val="22"/>
        </w:rPr>
        <w:t xml:space="preserve">Zamiejscowy Ośrodek Dydaktyczny wydziału Odlewnictwa AGH. Zamiejscowy Ośrodek </w:t>
      </w:r>
      <w:r w:rsidR="0004489D">
        <w:rPr>
          <w:rFonts w:ascii="Calibri" w:hAnsi="Calibri" w:cs="Tahoma"/>
          <w:sz w:val="22"/>
          <w:szCs w:val="22"/>
        </w:rPr>
        <w:t>Krakowskiej Akademii Górniczo-</w:t>
      </w:r>
      <w:r w:rsidRPr="00662F03">
        <w:rPr>
          <w:rFonts w:ascii="Calibri" w:hAnsi="Calibri" w:cs="Tahoma"/>
          <w:sz w:val="22"/>
          <w:szCs w:val="22"/>
        </w:rPr>
        <w:t>Hutniczej</w:t>
      </w:r>
      <w:r w:rsidR="00835A51">
        <w:rPr>
          <w:rFonts w:ascii="Calibri" w:hAnsi="Calibri" w:cs="Tahoma"/>
          <w:sz w:val="22"/>
          <w:szCs w:val="22"/>
        </w:rPr>
        <w:t xml:space="preserve"> działał</w:t>
      </w:r>
      <w:r w:rsidR="009C019F" w:rsidRPr="00662F03">
        <w:rPr>
          <w:rFonts w:ascii="Calibri" w:hAnsi="Calibri" w:cs="Tahoma"/>
          <w:sz w:val="22"/>
          <w:szCs w:val="22"/>
        </w:rPr>
        <w:t xml:space="preserve"> w Nowej Soli od 2006 roku</w:t>
      </w:r>
      <w:r w:rsidR="00835A51">
        <w:rPr>
          <w:rFonts w:ascii="Calibri" w:hAnsi="Calibri" w:cs="Tahoma"/>
          <w:sz w:val="22"/>
          <w:szCs w:val="22"/>
        </w:rPr>
        <w:t xml:space="preserve"> przez kilka lat</w:t>
      </w:r>
      <w:r w:rsidR="009C019F" w:rsidRPr="00662F03">
        <w:rPr>
          <w:rFonts w:ascii="Calibri" w:hAnsi="Calibri" w:cs="Tahoma"/>
          <w:sz w:val="22"/>
          <w:szCs w:val="22"/>
        </w:rPr>
        <w:t>.</w:t>
      </w:r>
      <w:r w:rsidRPr="00662F03">
        <w:rPr>
          <w:rFonts w:ascii="Calibri" w:hAnsi="Calibri" w:cs="Tahoma"/>
          <w:sz w:val="22"/>
          <w:szCs w:val="22"/>
        </w:rPr>
        <w:t xml:space="preserve"> </w:t>
      </w:r>
      <w:r w:rsidR="00835A51">
        <w:rPr>
          <w:rFonts w:ascii="Calibri" w:hAnsi="Calibri" w:cs="Tahoma"/>
          <w:sz w:val="22"/>
          <w:szCs w:val="22"/>
        </w:rPr>
        <w:t xml:space="preserve">W roku akademickim 2010/2011 nie przeprowadzono rekrutacji, ośrodek został zlikwidowany. Obecnie miasto Nowa Sól nie posiada </w:t>
      </w:r>
      <w:r w:rsidR="00D121DF">
        <w:rPr>
          <w:rFonts w:ascii="Calibri" w:hAnsi="Calibri" w:cs="Tahoma"/>
          <w:sz w:val="22"/>
          <w:szCs w:val="22"/>
        </w:rPr>
        <w:t>wyższej uczelni.</w:t>
      </w:r>
    </w:p>
    <w:p w:rsidR="002F0A89" w:rsidRPr="00662F03" w:rsidRDefault="002F0A89" w:rsidP="008A39A5">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terenie miasta działa Nowosolski Uniwersytet Trzeciego Wieku będący placówką kulturalno-oświatową oferującą starszym osobom atrakcyjne zajęcia z różnych dziedzin, dające możliwość zagospodarowania wolnego czasu i utrzymania aktywności życiowej. Uniwe</w:t>
      </w:r>
      <w:r w:rsidR="00354F25" w:rsidRPr="00662F03">
        <w:rPr>
          <w:rFonts w:ascii="Calibri" w:hAnsi="Calibri" w:cs="Tahoma"/>
          <w:sz w:val="22"/>
          <w:szCs w:val="22"/>
        </w:rPr>
        <w:t>rsytet zapewnia poza działalnością</w:t>
      </w:r>
      <w:r w:rsidRPr="00662F03">
        <w:rPr>
          <w:rFonts w:ascii="Calibri" w:hAnsi="Calibri" w:cs="Tahoma"/>
          <w:sz w:val="22"/>
          <w:szCs w:val="22"/>
        </w:rPr>
        <w:t xml:space="preserve"> edukacyjną, zajęcia ogólnorozwojowe, gimnastykę rehabilitacyjną, turystykę pieszą, marsze nordyckie nordic walking i wycieczki krajoznawcze, a także możliwość uczestnictwa w imprezach kulturalnych organizowanych w mieście, w wyjazdach na imprezy do większych ośrodków kulturalnych.</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Nowa Sól nie musi rozwijać szkolnictwa wyższego na swoim terenie ze względu na bliskość ośrodka akademickiego - Zielonej Góry. Uczniowie z Nowej Soli planujący podjąć studia mogą skorzystać z komplementarnej oferty miast </w:t>
      </w:r>
      <w:r w:rsidR="00354F25" w:rsidRPr="00662F03">
        <w:rPr>
          <w:rFonts w:ascii="Calibri" w:hAnsi="Calibri" w:cs="Tahoma"/>
          <w:sz w:val="22"/>
          <w:szCs w:val="22"/>
        </w:rPr>
        <w:t xml:space="preserve">Lubuskiego </w:t>
      </w:r>
      <w:r w:rsidRPr="00662F03">
        <w:rPr>
          <w:rFonts w:ascii="Calibri" w:hAnsi="Calibri" w:cs="Tahoma"/>
          <w:sz w:val="22"/>
          <w:szCs w:val="22"/>
        </w:rPr>
        <w:t>Trójmiasta –Sulechowa, w którym znajduje się Państwowa Wyższa Szkoła Zawodowa czy wspomnianej Zielonej Góry, oferującej możliwości kształcenia na 5 uczelniach (Uniwersytet Zielonogórski, Zachodnia Wyższa Szkoła Handlu i Finansów Międzynarodowych im. Jana Pawła II w Zielonej Górze, Uniwersytet Ekonomiczny w Poznaniu – filia w Zielonej Górze, Uniwersytet Szczeciński – Instytut Filozoficzno-Teologiczny im. Edyty Stein w Zielonej Górze, Lubuska Wyższa Szkoła Zdrowia Publicznego w Zielonej Górze).</w:t>
      </w:r>
    </w:p>
    <w:p w:rsidR="004717D3" w:rsidRDefault="004717D3" w:rsidP="004E5A9A">
      <w:pPr>
        <w:jc w:val="both"/>
        <w:rPr>
          <w:rFonts w:ascii="Calibri" w:hAnsi="Calibri"/>
          <w:b/>
          <w:sz w:val="22"/>
          <w:szCs w:val="22"/>
        </w:rPr>
      </w:pPr>
    </w:p>
    <w:p w:rsidR="00FA3B45" w:rsidRPr="00662F03" w:rsidRDefault="00FA3B45" w:rsidP="004E5A9A">
      <w:pPr>
        <w:jc w:val="both"/>
        <w:rPr>
          <w:rFonts w:ascii="Calibri" w:hAnsi="Calibri"/>
          <w:b/>
          <w:sz w:val="22"/>
          <w:szCs w:val="22"/>
        </w:rPr>
      </w:pPr>
    </w:p>
    <w:p w:rsidR="004717D3" w:rsidRPr="00662F03" w:rsidRDefault="005433B6" w:rsidP="004E5A9A">
      <w:pPr>
        <w:jc w:val="both"/>
        <w:rPr>
          <w:rFonts w:ascii="Calibri" w:hAnsi="Calibri"/>
        </w:rPr>
      </w:pPr>
      <w:r>
        <w:rPr>
          <w:rFonts w:ascii="Calibri" w:hAnsi="Calibri"/>
        </w:rPr>
      </w:r>
      <w:r w:rsidR="00072369">
        <w:rPr>
          <w:rFonts w:ascii="Calibri" w:hAnsi="Calibri"/>
        </w:rPr>
        <w:pict>
          <v:roundrect id="_x0000_s1050"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50;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614BF3" w:rsidRPr="0066782A" w:rsidRDefault="00614BF3" w:rsidP="00614BF3">
      <w:pPr>
        <w:shd w:val="clear" w:color="auto" w:fill="FFFFFF"/>
        <w:spacing w:before="150" w:after="75"/>
        <w:jc w:val="both"/>
        <w:outlineLvl w:val="3"/>
        <w:rPr>
          <w:rFonts w:ascii="Calibri" w:hAnsi="Calibri" w:cs="Tahoma"/>
          <w:shadow/>
          <w:color w:val="808080"/>
          <w:sz w:val="22"/>
        </w:rPr>
      </w:pPr>
      <w:r w:rsidRPr="0066782A">
        <w:rPr>
          <w:rFonts w:ascii="Calibri" w:hAnsi="Calibri" w:cs="Tahoma"/>
          <w:shadow/>
          <w:color w:val="808080"/>
          <w:sz w:val="22"/>
        </w:rPr>
        <w:t>Dobrą ocenę oferty szkół pomaturalnych, policealnych lub wyższych potwierdzają mieszkańcy, odpowiadając na pytanie, czy w mieście lub w stosunkowo bliskiej okolicy absolwenci szkół średnich mogą zaleźć interesującą pod względem profilu nauczania szkołę pomaturalną, policealną lub wyższą. Większość (65%) twierdzi, że tak jest. Częściej czynią to osoby ze średnim wykształceniem oraz osoby w wieku 30-39 lat. Najmniej przekonanych jest wśród osób starszych (w tej grupie większość stanowią zaprzeczający temu twierdzeniu). Płeć respondentów nie wpływa na opinię. Waga oferty edukacyjnej szkół pomaturalnych, policealnych lub wyższych w ocenie atrakcyjności miasta jako miejsca zamieszkania jest niewysoka spada wraz z wiekiem oraz wykształceniem. Ważniejsza jest dla mężczyzn niż dla kobiet.</w:t>
      </w:r>
    </w:p>
    <w:p w:rsidR="00614BF3" w:rsidRDefault="00614BF3" w:rsidP="00614BF3">
      <w:pPr>
        <w:shd w:val="clear" w:color="auto" w:fill="FFFFFF"/>
        <w:spacing w:before="150" w:after="75"/>
        <w:jc w:val="both"/>
        <w:outlineLvl w:val="3"/>
        <w:rPr>
          <w:rFonts w:ascii="Calibri" w:hAnsi="Calibri" w:cs="Tahoma"/>
          <w:shadow/>
          <w:color w:val="808080"/>
          <w:sz w:val="22"/>
        </w:rPr>
      </w:pPr>
      <w:r w:rsidRPr="0066782A">
        <w:rPr>
          <w:rFonts w:ascii="Calibri" w:hAnsi="Calibri" w:cs="Tahoma"/>
          <w:shadow/>
          <w:color w:val="808080"/>
          <w:sz w:val="22"/>
        </w:rPr>
        <w:t>Wnioski: Oferta edukacyjna szkół pomaturalnych, policealnych lub wyższych w mieście lub stosunkowo bliskiej okolicy jest uważana za mocną stronę miasta, choć nie jest dla mieszkańców ważnym kryterium oceny atrakcyjności miejsca zamieszkania. Należy zatem dążyć do utrzymania stanu zaspokojenia popytu w tym zakresie.</w:t>
      </w:r>
    </w:p>
    <w:p w:rsidR="00FA3B45" w:rsidRDefault="00FA3B45">
      <w:pPr>
        <w:rPr>
          <w:rFonts w:ascii="Calibri" w:hAnsi="Calibri" w:cs="Tahoma"/>
          <w:shadow/>
          <w:color w:val="808080"/>
          <w:sz w:val="22"/>
        </w:rPr>
      </w:pPr>
      <w:bookmarkStart w:id="36" w:name="_Toc315790491"/>
      <w:r>
        <w:rPr>
          <w:rFonts w:ascii="Calibri" w:hAnsi="Calibri" w:cs="Tahoma"/>
          <w:b/>
          <w:bCs/>
          <w:shadow/>
          <w:color w:val="808080"/>
          <w:sz w:val="22"/>
        </w:rPr>
        <w:br w:type="page"/>
      </w:r>
    </w:p>
    <w:p w:rsidR="00614BF3" w:rsidRPr="00926EA5" w:rsidRDefault="00EB238C" w:rsidP="00926EA5">
      <w:pPr>
        <w:pStyle w:val="Legenda"/>
        <w:jc w:val="both"/>
        <w:rPr>
          <w:rFonts w:ascii="Calibri" w:hAnsi="Calibri" w:cs="Tahoma"/>
          <w:b w:val="0"/>
          <w:shadow/>
          <w:color w:val="808080"/>
          <w:szCs w:val="22"/>
        </w:rPr>
      </w:pPr>
      <w:r w:rsidRPr="00926EA5">
        <w:rPr>
          <w:rFonts w:ascii="Calibri" w:hAnsi="Calibri"/>
          <w:b w:val="0"/>
          <w:sz w:val="18"/>
        </w:rPr>
        <w:lastRenderedPageBreak/>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22</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Rozkład odpowiedzi na pytanie, czy mieszkańcy zgadzają się z twierdzeniem, że w mieście lub w stosunkowo bliskiej okolicy absolwenci szkół średnich mogą zaleźć interesującą pod względem profilu nauczania szkołę pomaturalną, policealną lub wyższą</w:t>
      </w:r>
      <w:r w:rsidR="00926EA5">
        <w:rPr>
          <w:rFonts w:ascii="Calibri" w:hAnsi="Calibri"/>
          <w:b w:val="0"/>
          <w:sz w:val="18"/>
        </w:rPr>
        <w:t>.</w:t>
      </w:r>
      <w:bookmarkEnd w:id="36"/>
    </w:p>
    <w:p w:rsidR="00614BF3" w:rsidRPr="00662F03" w:rsidRDefault="005B1628" w:rsidP="0066782A">
      <w:pPr>
        <w:jc w:val="center"/>
        <w:rPr>
          <w:rFonts w:ascii="Calibri" w:hAnsi="Calibri"/>
        </w:rPr>
      </w:pPr>
      <w:r>
        <w:rPr>
          <w:rFonts w:ascii="Calibri" w:hAnsi="Calibri"/>
          <w:noProof/>
        </w:rPr>
        <w:drawing>
          <wp:inline distT="0" distB="0" distL="0" distR="0">
            <wp:extent cx="4883334" cy="2970559"/>
            <wp:effectExtent l="19050" t="0" r="12516" b="1241"/>
            <wp:docPr id="28" name="Wykres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B238C" w:rsidRPr="00926EA5" w:rsidRDefault="00EB238C" w:rsidP="00EB238C">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FA3B45" w:rsidRDefault="00FA3B45" w:rsidP="00926EA5">
      <w:pPr>
        <w:pStyle w:val="Legenda"/>
        <w:jc w:val="both"/>
        <w:rPr>
          <w:rFonts w:ascii="Calibri" w:hAnsi="Calibri"/>
          <w:b w:val="0"/>
          <w:bCs w:val="0"/>
          <w:sz w:val="24"/>
          <w:szCs w:val="24"/>
        </w:rPr>
      </w:pPr>
      <w:bookmarkStart w:id="37" w:name="_Toc315790492"/>
    </w:p>
    <w:p w:rsidR="00EB238C" w:rsidRPr="00926EA5" w:rsidRDefault="00EB238C" w:rsidP="00926EA5">
      <w:pPr>
        <w:pStyle w:val="Legenda"/>
        <w:jc w:val="both"/>
        <w:rPr>
          <w:rFonts w:ascii="Calibri" w:hAnsi="Calibri"/>
          <w:b w:val="0"/>
          <w:sz w:val="18"/>
        </w:rPr>
      </w:pPr>
      <w:r w:rsidRPr="00926EA5">
        <w:rPr>
          <w:rFonts w:ascii="Calibri" w:hAnsi="Calibri"/>
          <w:b w:val="0"/>
          <w:sz w:val="18"/>
        </w:rPr>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23</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Średnia oceny, czy oferta edukacyjna szkół pomaturalnych, policealnych lub wyższych ma znaczenie w atrakcyjności miasta jako miejsca zamieszkania.</w:t>
      </w:r>
      <w:bookmarkEnd w:id="37"/>
    </w:p>
    <w:p w:rsidR="00614BF3" w:rsidRPr="00662F03" w:rsidRDefault="005B1628" w:rsidP="0066782A">
      <w:pPr>
        <w:jc w:val="center"/>
        <w:rPr>
          <w:rFonts w:ascii="Calibri" w:hAnsi="Calibri"/>
        </w:rPr>
      </w:pPr>
      <w:r>
        <w:rPr>
          <w:rFonts w:ascii="Calibri" w:hAnsi="Calibri"/>
          <w:noProof/>
        </w:rPr>
        <w:drawing>
          <wp:inline distT="0" distB="0" distL="0" distR="0">
            <wp:extent cx="4828599" cy="2700670"/>
            <wp:effectExtent l="19050" t="0" r="10101" b="4430"/>
            <wp:docPr id="29"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B238C" w:rsidRPr="00926EA5" w:rsidRDefault="00EB238C" w:rsidP="00EB238C">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614BF3" w:rsidRPr="00662F03" w:rsidRDefault="00614BF3" w:rsidP="004E5A9A">
      <w:pPr>
        <w:jc w:val="both"/>
        <w:rPr>
          <w:rFonts w:ascii="Calibri" w:hAnsi="Calibri"/>
          <w:b/>
          <w:sz w:val="22"/>
          <w:szCs w:val="22"/>
        </w:rPr>
      </w:pPr>
    </w:p>
    <w:p w:rsidR="002F0A89" w:rsidRPr="00662F03" w:rsidRDefault="002F0A89" w:rsidP="004E5A9A">
      <w:pPr>
        <w:rPr>
          <w:rFonts w:ascii="Calibri" w:hAnsi="Calibri"/>
          <w:b/>
          <w:color w:val="365F91"/>
          <w:sz w:val="22"/>
          <w:szCs w:val="22"/>
        </w:rPr>
      </w:pPr>
      <w:r w:rsidRPr="00662F03">
        <w:rPr>
          <w:rFonts w:ascii="Calibri" w:hAnsi="Calibri"/>
          <w:b/>
          <w:color w:val="365F91"/>
          <w:sz w:val="22"/>
          <w:szCs w:val="22"/>
        </w:rPr>
        <w:t>Sektor bad</w:t>
      </w:r>
      <w:r w:rsidR="00354F25" w:rsidRPr="00662F03">
        <w:rPr>
          <w:rFonts w:ascii="Calibri" w:hAnsi="Calibri"/>
          <w:b/>
          <w:color w:val="365F91"/>
          <w:sz w:val="22"/>
          <w:szCs w:val="22"/>
        </w:rPr>
        <w:t>awczo-rozwojowy i innowacyjność</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 danych statystycznych wynika, że lubuskie jest województwem, które w 2008 r. poniosło najniższe nakłady na działalność badawczą i rozwojową (B+R). Tendencja ta jest wieloletnia. Najwyższe nakłady poniesiono w lubuskim w 2000 r., w kolejnych latach kwoty te były już tylko niższe.</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 firm znajdujących się na terenie Nowej Soli żadna nie posiada własnych jednostek badawczo-rozwojowych. Współpracę z innymi podmiotami w zakresie działalności B+R deklaruje tylko niewielki odsetek firm; głównymi partnerami są: uczelnie wyższe, instytuty badawcze, przedsiębiorstwa.</w:t>
      </w:r>
    </w:p>
    <w:p w:rsidR="002F0A89" w:rsidRPr="00662F03" w:rsidRDefault="002F0A89"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Główne obszary współpracy firm w zakresie działalności innowacyjnej dotyczą:</w:t>
      </w:r>
    </w:p>
    <w:p w:rsidR="002F0A89" w:rsidRPr="00662F03" w:rsidRDefault="002F0A89" w:rsidP="00835A51">
      <w:pPr>
        <w:pStyle w:val="Akapitzlist"/>
        <w:numPr>
          <w:ilvl w:val="0"/>
          <w:numId w:val="6"/>
        </w:numPr>
        <w:shd w:val="clear" w:color="auto" w:fill="FFFFFF"/>
        <w:spacing w:after="0" w:line="240" w:lineRule="auto"/>
        <w:jc w:val="both"/>
        <w:outlineLvl w:val="3"/>
        <w:rPr>
          <w:rFonts w:cs="Tahoma"/>
        </w:rPr>
      </w:pPr>
      <w:r w:rsidRPr="00662F03">
        <w:rPr>
          <w:rFonts w:cs="Tahoma"/>
        </w:rPr>
        <w:t>szkolenia pracowników,</w:t>
      </w:r>
    </w:p>
    <w:p w:rsidR="002F0A89" w:rsidRPr="00662F03" w:rsidRDefault="002F0A89" w:rsidP="00F71F0A">
      <w:pPr>
        <w:pStyle w:val="Akapitzlist"/>
        <w:numPr>
          <w:ilvl w:val="0"/>
          <w:numId w:val="6"/>
        </w:numPr>
        <w:shd w:val="clear" w:color="auto" w:fill="FFFFFF"/>
        <w:spacing w:after="75" w:line="240" w:lineRule="auto"/>
        <w:jc w:val="both"/>
        <w:outlineLvl w:val="3"/>
        <w:rPr>
          <w:rFonts w:cs="Tahoma"/>
        </w:rPr>
      </w:pPr>
      <w:r w:rsidRPr="00662F03">
        <w:rPr>
          <w:rFonts w:cs="Tahoma"/>
        </w:rPr>
        <w:t>badania nad nowymi produktami,</w:t>
      </w:r>
    </w:p>
    <w:p w:rsidR="002F0A89" w:rsidRPr="00662F03" w:rsidRDefault="002F0A89" w:rsidP="00F71F0A">
      <w:pPr>
        <w:pStyle w:val="Akapitzlist"/>
        <w:numPr>
          <w:ilvl w:val="0"/>
          <w:numId w:val="6"/>
        </w:numPr>
        <w:shd w:val="clear" w:color="auto" w:fill="FFFFFF"/>
        <w:spacing w:before="150" w:after="75" w:line="240" w:lineRule="auto"/>
        <w:jc w:val="both"/>
        <w:outlineLvl w:val="3"/>
        <w:rPr>
          <w:rFonts w:cs="Tahoma"/>
        </w:rPr>
      </w:pPr>
      <w:r w:rsidRPr="00662F03">
        <w:rPr>
          <w:rFonts w:cs="Tahoma"/>
        </w:rPr>
        <w:lastRenderedPageBreak/>
        <w:t>doradztwa w zakresie transferu technologii.</w:t>
      </w:r>
    </w:p>
    <w:p w:rsidR="002F0A89" w:rsidRPr="00662F03" w:rsidRDefault="002F0A89"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Zgodnie z badaniami wykonanymi przez ASM Centrum Badań i Analiz Rynku Sp. z o.</w:t>
      </w:r>
      <w:r w:rsidR="00603802" w:rsidRPr="00662F03">
        <w:rPr>
          <w:rFonts w:ascii="Calibri" w:hAnsi="Calibri" w:cs="Tahoma"/>
          <w:sz w:val="22"/>
          <w:szCs w:val="22"/>
        </w:rPr>
        <w:t xml:space="preserve"> </w:t>
      </w:r>
      <w:r w:rsidRPr="00662F03">
        <w:rPr>
          <w:rFonts w:ascii="Calibri" w:hAnsi="Calibri" w:cs="Tahoma"/>
          <w:sz w:val="22"/>
          <w:szCs w:val="22"/>
        </w:rPr>
        <w:t>o. pn. „Badanie innowacyjności przedsiębiorstw z województwa lubuskiego” główne działania innowacyjne na terenie województwa lubuskiego w latach 2006-2008, co można przełożyć na działania firm nowosolskich, dotyczyły:</w:t>
      </w:r>
    </w:p>
    <w:p w:rsidR="002F0A89" w:rsidRPr="00662F03" w:rsidRDefault="002F0A89" w:rsidP="00835A51">
      <w:pPr>
        <w:pStyle w:val="Akapitzlist"/>
        <w:numPr>
          <w:ilvl w:val="0"/>
          <w:numId w:val="7"/>
        </w:numPr>
        <w:shd w:val="clear" w:color="auto" w:fill="FFFFFF"/>
        <w:spacing w:after="0" w:line="240" w:lineRule="auto"/>
        <w:jc w:val="both"/>
        <w:outlineLvl w:val="3"/>
        <w:rPr>
          <w:rFonts w:cs="Tahoma"/>
        </w:rPr>
      </w:pPr>
      <w:r w:rsidRPr="00662F03">
        <w:rPr>
          <w:rFonts w:cs="Tahoma"/>
        </w:rPr>
        <w:t>nakładów inwestyc</w:t>
      </w:r>
      <w:r w:rsidR="00354F25" w:rsidRPr="00662F03">
        <w:rPr>
          <w:rFonts w:cs="Tahoma"/>
        </w:rPr>
        <w:t xml:space="preserve">yjnych na maszyny i urządzenia </w:t>
      </w:r>
      <w:r w:rsidRPr="00662F03">
        <w:rPr>
          <w:rFonts w:cs="Tahoma"/>
        </w:rPr>
        <w:t>techniczne (69%)</w:t>
      </w:r>
      <w:r w:rsidR="00354F25" w:rsidRPr="00662F03">
        <w:rPr>
          <w:rFonts w:cs="Tahoma"/>
        </w:rPr>
        <w:t>,</w:t>
      </w:r>
    </w:p>
    <w:p w:rsidR="002F0A89" w:rsidRPr="00662F03" w:rsidRDefault="002F0A89" w:rsidP="00F71F0A">
      <w:pPr>
        <w:pStyle w:val="Akapitzlist"/>
        <w:numPr>
          <w:ilvl w:val="0"/>
          <w:numId w:val="7"/>
        </w:numPr>
        <w:shd w:val="clear" w:color="auto" w:fill="FFFFFF"/>
        <w:spacing w:after="75" w:line="240" w:lineRule="auto"/>
        <w:jc w:val="both"/>
        <w:outlineLvl w:val="3"/>
        <w:rPr>
          <w:rFonts w:cs="Tahoma"/>
        </w:rPr>
      </w:pPr>
      <w:r w:rsidRPr="00662F03">
        <w:rPr>
          <w:rFonts w:cs="Tahoma"/>
        </w:rPr>
        <w:t>szkoleń pracowników w związku z zakupem technologii lub maszyn i urządzeń (41%)</w:t>
      </w:r>
      <w:r w:rsidR="00354F25" w:rsidRPr="00662F03">
        <w:rPr>
          <w:rFonts w:cs="Tahoma"/>
        </w:rPr>
        <w:t>,</w:t>
      </w:r>
    </w:p>
    <w:p w:rsidR="002F0A89" w:rsidRPr="00662F03" w:rsidRDefault="002F0A89" w:rsidP="00F71F0A">
      <w:pPr>
        <w:pStyle w:val="Akapitzlist"/>
        <w:numPr>
          <w:ilvl w:val="0"/>
          <w:numId w:val="7"/>
        </w:numPr>
        <w:shd w:val="clear" w:color="auto" w:fill="FFFFFF"/>
        <w:spacing w:before="150" w:after="75" w:line="240" w:lineRule="auto"/>
        <w:jc w:val="both"/>
        <w:outlineLvl w:val="3"/>
        <w:rPr>
          <w:rFonts w:cs="Tahoma"/>
        </w:rPr>
      </w:pPr>
      <w:r w:rsidRPr="00662F03">
        <w:rPr>
          <w:rFonts w:cs="Tahoma"/>
        </w:rPr>
        <w:t>nakładów inwestycyjnych na budynki i/lub budowle oraz/lub grunty (40%)</w:t>
      </w:r>
      <w:r w:rsidR="00354F25" w:rsidRPr="00662F03">
        <w:rPr>
          <w:rFonts w:cs="Tahoma"/>
        </w:rPr>
        <w:t>,</w:t>
      </w:r>
    </w:p>
    <w:p w:rsidR="002F0A89" w:rsidRPr="00662F03" w:rsidRDefault="002F0A89" w:rsidP="00F71F0A">
      <w:pPr>
        <w:pStyle w:val="Akapitzlist"/>
        <w:numPr>
          <w:ilvl w:val="0"/>
          <w:numId w:val="7"/>
        </w:numPr>
        <w:shd w:val="clear" w:color="auto" w:fill="FFFFFF"/>
        <w:spacing w:before="150" w:after="75" w:line="240" w:lineRule="auto"/>
        <w:jc w:val="both"/>
        <w:outlineLvl w:val="3"/>
        <w:rPr>
          <w:rFonts w:cs="Tahoma"/>
        </w:rPr>
      </w:pPr>
      <w:r w:rsidRPr="00662F03">
        <w:rPr>
          <w:rFonts w:cs="Tahoma"/>
        </w:rPr>
        <w:t>działalności marketingowej dotyczącej nowych i zmodernizowanych produktów/usług (27%)</w:t>
      </w:r>
      <w:r w:rsidR="00354F25" w:rsidRPr="00662F03">
        <w:rPr>
          <w:rFonts w:cs="Tahoma"/>
        </w:rPr>
        <w:t>,</w:t>
      </w:r>
    </w:p>
    <w:p w:rsidR="002F0A89" w:rsidRPr="00662F03" w:rsidRDefault="002F0A89" w:rsidP="00F71F0A">
      <w:pPr>
        <w:pStyle w:val="Akapitzlist"/>
        <w:numPr>
          <w:ilvl w:val="0"/>
          <w:numId w:val="7"/>
        </w:numPr>
        <w:shd w:val="clear" w:color="auto" w:fill="FFFFFF"/>
        <w:spacing w:before="150" w:after="75" w:line="240" w:lineRule="auto"/>
        <w:jc w:val="both"/>
        <w:outlineLvl w:val="3"/>
        <w:rPr>
          <w:rFonts w:cs="Tahoma"/>
        </w:rPr>
      </w:pPr>
      <w:r w:rsidRPr="00662F03">
        <w:rPr>
          <w:rFonts w:cs="Tahoma"/>
        </w:rPr>
        <w:t>zakupu gotowej technologii w postaci dokumentacji i/lub praw (8%)</w:t>
      </w:r>
      <w:r w:rsidR="00354F25" w:rsidRPr="00662F03">
        <w:rPr>
          <w:rFonts w:cs="Tahoma"/>
        </w:rPr>
        <w:t>,</w:t>
      </w:r>
    </w:p>
    <w:p w:rsidR="002F0A89" w:rsidRPr="00662F03" w:rsidRDefault="002F0A89" w:rsidP="00F71F0A">
      <w:pPr>
        <w:pStyle w:val="Akapitzlist"/>
        <w:numPr>
          <w:ilvl w:val="0"/>
          <w:numId w:val="7"/>
        </w:numPr>
        <w:shd w:val="clear" w:color="auto" w:fill="FFFFFF"/>
        <w:spacing w:before="150" w:after="75" w:line="240" w:lineRule="auto"/>
        <w:jc w:val="both"/>
        <w:outlineLvl w:val="3"/>
        <w:rPr>
          <w:rFonts w:cs="Tahoma"/>
        </w:rPr>
      </w:pPr>
      <w:r w:rsidRPr="00662F03">
        <w:rPr>
          <w:rFonts w:cs="Tahoma"/>
        </w:rPr>
        <w:t>prowadzenia prac badawczo-rozwojowych (4%)</w:t>
      </w:r>
      <w:r w:rsidR="00354F25" w:rsidRPr="00662F03">
        <w:rPr>
          <w:rFonts w:cs="Tahoma"/>
        </w:rPr>
        <w:t>,</w:t>
      </w:r>
    </w:p>
    <w:p w:rsidR="002F0A89" w:rsidRPr="00662F03" w:rsidRDefault="002F0A89" w:rsidP="00F71F0A">
      <w:pPr>
        <w:pStyle w:val="Akapitzlist"/>
        <w:numPr>
          <w:ilvl w:val="0"/>
          <w:numId w:val="7"/>
        </w:numPr>
        <w:shd w:val="clear" w:color="auto" w:fill="FFFFFF"/>
        <w:spacing w:before="150" w:after="75" w:line="240" w:lineRule="auto"/>
        <w:jc w:val="both"/>
        <w:outlineLvl w:val="3"/>
        <w:rPr>
          <w:rFonts w:cs="Tahoma"/>
        </w:rPr>
      </w:pPr>
      <w:r w:rsidRPr="00662F03">
        <w:rPr>
          <w:rFonts w:cs="Tahoma"/>
        </w:rPr>
        <w:t>wykonania badań firmom zewnętrznym, szkołom wyższym lub instytutom badawczym (3%)</w:t>
      </w:r>
      <w:r w:rsidR="00354F25" w:rsidRPr="00662F03">
        <w:rPr>
          <w:rFonts w:cs="Tahoma"/>
        </w:rPr>
        <w:t>.</w:t>
      </w:r>
    </w:p>
    <w:p w:rsidR="002F0A89" w:rsidRPr="00662F03" w:rsidRDefault="00E87ACB"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dokumentu</w:t>
      </w:r>
      <w:r w:rsidR="002F0A89" w:rsidRPr="00662F03">
        <w:rPr>
          <w:rFonts w:ascii="Calibri" w:hAnsi="Calibri" w:cs="Tahoma"/>
          <w:sz w:val="22"/>
          <w:szCs w:val="22"/>
        </w:rPr>
        <w:t xml:space="preserve"> „Lubusk</w:t>
      </w:r>
      <w:r w:rsidRPr="00662F03">
        <w:rPr>
          <w:rFonts w:ascii="Calibri" w:hAnsi="Calibri" w:cs="Tahoma"/>
          <w:sz w:val="22"/>
          <w:szCs w:val="22"/>
        </w:rPr>
        <w:t>a</w:t>
      </w:r>
      <w:r w:rsidR="002F0A89" w:rsidRPr="00662F03">
        <w:rPr>
          <w:rFonts w:ascii="Calibri" w:hAnsi="Calibri" w:cs="Tahoma"/>
          <w:sz w:val="22"/>
          <w:szCs w:val="22"/>
        </w:rPr>
        <w:t xml:space="preserve"> Regionaln</w:t>
      </w:r>
      <w:r w:rsidRPr="00662F03">
        <w:rPr>
          <w:rFonts w:ascii="Calibri" w:hAnsi="Calibri" w:cs="Tahoma"/>
          <w:sz w:val="22"/>
          <w:szCs w:val="22"/>
        </w:rPr>
        <w:t>a</w:t>
      </w:r>
      <w:r w:rsidR="002F0A89" w:rsidRPr="00662F03">
        <w:rPr>
          <w:rFonts w:ascii="Calibri" w:hAnsi="Calibri" w:cs="Tahoma"/>
          <w:sz w:val="22"/>
          <w:szCs w:val="22"/>
        </w:rPr>
        <w:t xml:space="preserve"> Strategi</w:t>
      </w:r>
      <w:r w:rsidRPr="00662F03">
        <w:rPr>
          <w:rFonts w:ascii="Calibri" w:hAnsi="Calibri" w:cs="Tahoma"/>
          <w:sz w:val="22"/>
          <w:szCs w:val="22"/>
        </w:rPr>
        <w:t>a</w:t>
      </w:r>
      <w:r w:rsidR="002F0A89" w:rsidRPr="00662F03">
        <w:rPr>
          <w:rFonts w:ascii="Calibri" w:hAnsi="Calibri" w:cs="Tahoma"/>
          <w:sz w:val="22"/>
          <w:szCs w:val="22"/>
        </w:rPr>
        <w:t xml:space="preserve"> Innowacji” ośrodki badawczo-rozwojowe działające na terenie województwa lubuskiego zlokalizowane są w</w:t>
      </w:r>
      <w:r w:rsidRPr="00662F03">
        <w:rPr>
          <w:rFonts w:ascii="Calibri" w:hAnsi="Calibri" w:cs="Tahoma"/>
          <w:sz w:val="22"/>
          <w:szCs w:val="22"/>
        </w:rPr>
        <w:t>yłącznie w</w:t>
      </w:r>
      <w:r w:rsidR="002F0A89" w:rsidRPr="00662F03">
        <w:rPr>
          <w:rFonts w:ascii="Calibri" w:hAnsi="Calibri" w:cs="Tahoma"/>
          <w:sz w:val="22"/>
          <w:szCs w:val="22"/>
        </w:rPr>
        <w:t xml:space="preserve"> Zielonej Górze, należą do nich:</w:t>
      </w:r>
      <w:r w:rsidR="009E02A8" w:rsidRPr="00662F03">
        <w:rPr>
          <w:rFonts w:ascii="Calibri" w:hAnsi="Calibri" w:cs="Tahoma"/>
          <w:sz w:val="22"/>
          <w:szCs w:val="22"/>
        </w:rPr>
        <w:t xml:space="preserve"> </w:t>
      </w:r>
      <w:r w:rsidR="002F0A89" w:rsidRPr="00662F03">
        <w:rPr>
          <w:rFonts w:ascii="Calibri" w:hAnsi="Calibri" w:cs="Tahoma"/>
          <w:sz w:val="22"/>
          <w:szCs w:val="22"/>
        </w:rPr>
        <w:t>Instytut Elektrotechniki Oddział Metrologii i Automatyki METROL, Firma LfC Sp. z o.o.</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Zgodnie z listą 64 najbardziej innowacyjnych przedsiębiorstw w województwie lubuskim w 2008</w:t>
      </w:r>
      <w:r w:rsidR="00354F25" w:rsidRPr="00662F03">
        <w:rPr>
          <w:rFonts w:ascii="Calibri" w:hAnsi="Calibri" w:cs="Tahoma"/>
          <w:sz w:val="22"/>
          <w:szCs w:val="22"/>
        </w:rPr>
        <w:t xml:space="preserve"> r.</w:t>
      </w:r>
      <w:r w:rsidRPr="00662F03">
        <w:rPr>
          <w:rFonts w:ascii="Calibri" w:hAnsi="Calibri" w:cs="Tahoma"/>
          <w:sz w:val="22"/>
          <w:szCs w:val="22"/>
        </w:rPr>
        <w:t xml:space="preserve">, powstałej na podstawie przeprowadzonych przez Instytut Nauk Ekonomicznych PAN badań, dwa spośród przedsiębiorstw liderów innowacji znajdują </w:t>
      </w:r>
      <w:r w:rsidR="00354F25" w:rsidRPr="00662F03">
        <w:rPr>
          <w:rFonts w:ascii="Calibri" w:hAnsi="Calibri" w:cs="Tahoma"/>
          <w:sz w:val="22"/>
          <w:szCs w:val="22"/>
        </w:rPr>
        <w:t>się w Nowej Soli. Są to spółki:</w:t>
      </w:r>
    </w:p>
    <w:p w:rsidR="002F0A89" w:rsidRPr="00662F03" w:rsidRDefault="002F0A89" w:rsidP="00F71F0A">
      <w:pPr>
        <w:pStyle w:val="Akapitzlist"/>
        <w:numPr>
          <w:ilvl w:val="0"/>
          <w:numId w:val="5"/>
        </w:numPr>
        <w:shd w:val="clear" w:color="auto" w:fill="FFFFFF"/>
        <w:spacing w:before="150" w:after="75" w:line="240" w:lineRule="auto"/>
        <w:jc w:val="both"/>
        <w:outlineLvl w:val="3"/>
        <w:rPr>
          <w:rFonts w:cs="Tahoma"/>
        </w:rPr>
      </w:pPr>
      <w:r w:rsidRPr="00662F03">
        <w:rPr>
          <w:rFonts w:cs="Tahoma"/>
        </w:rPr>
        <w:t xml:space="preserve">Zakłady Jajczarskie Ovopol – wiodący producent wysokiej jakości i technologicznie zaawansowanych wyrobów jajczarskich. Posiada 4 patenty. Surowcem do produkcji płynnych oraz suszonych artykułów są świeże jaja kurze (ok. 2 mln jaj dziennie). Substancje czynne, izolowane z treści jaja kurzego służą jako dodatki do żywności, pasz oraz </w:t>
      </w:r>
      <w:r w:rsidR="006A6568" w:rsidRPr="00662F03">
        <w:rPr>
          <w:rFonts w:cs="Tahoma"/>
        </w:rPr>
        <w:t>do produkcji leków i kosmetyków;</w:t>
      </w:r>
    </w:p>
    <w:p w:rsidR="002F0A89" w:rsidRPr="00662F03" w:rsidRDefault="002F0A89" w:rsidP="00F71F0A">
      <w:pPr>
        <w:pStyle w:val="Akapitzlist"/>
        <w:numPr>
          <w:ilvl w:val="0"/>
          <w:numId w:val="5"/>
        </w:numPr>
        <w:shd w:val="clear" w:color="auto" w:fill="FFFFFF"/>
        <w:spacing w:before="150" w:after="75" w:line="240" w:lineRule="auto"/>
        <w:jc w:val="both"/>
        <w:outlineLvl w:val="3"/>
        <w:rPr>
          <w:rFonts w:cs="Tahoma"/>
        </w:rPr>
      </w:pPr>
      <w:r w:rsidRPr="00662F03">
        <w:rPr>
          <w:rFonts w:cs="Tahoma"/>
        </w:rPr>
        <w:t>Mazel M.H. Mazurkiewicz Sp.J. – producent z branży elektroenergetycznej, świadczący kompleksowe usługi z zakresu instalacji elektrycznych, automatyki przemysłowej i energetyki zawodowej</w:t>
      </w:r>
      <w:r w:rsidR="006A6568" w:rsidRPr="00662F03">
        <w:rPr>
          <w:rFonts w:cs="Tahoma"/>
        </w:rPr>
        <w:t>.</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Obecnie Nowa Sól jest jednym z większych ośrodków przemysłowych na zachodzie Polski. W nowosolskiej strefie przemysłowej prężnie działają firmy z branży spożywczej, motoryzacyjnej, elektronicznej, budowlanej, odlewniczej, metalowej, maszynowej i elektrotechnicznej. Ich liczba z roku na rok rośnie. W Nowej Soli produkuje się karoserie i podzespoły do najnowszych typów aut, najnowszą technikę napędową, nagrywarki DVD, telewizory LCD i CRT, a także produkty spożywcze.</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istnieje Kostrzyńsko-Słubicka Specjalna Strefa Ekonomiczna, w której powstało wiele fabryk. W mieście rozwija się handel, usługi, powstają nowe składy, hurto</w:t>
      </w:r>
      <w:r w:rsidR="009E02A8" w:rsidRPr="00662F03">
        <w:rPr>
          <w:rFonts w:ascii="Calibri" w:hAnsi="Calibri" w:cs="Tahoma"/>
          <w:sz w:val="22"/>
          <w:szCs w:val="22"/>
        </w:rPr>
        <w:t>wnie, sklepy, stacje benzynowe.</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terenie miasta działają instytucje, które przyczyniają się i wspomagają aktywnie proces rozwoju innowacyjności w Nowej Soli. Najważniejsze wśród nich to:</w:t>
      </w:r>
    </w:p>
    <w:p w:rsidR="002F0A89" w:rsidRPr="00662F03" w:rsidRDefault="002F0A89" w:rsidP="00835A51">
      <w:pPr>
        <w:pStyle w:val="Akapitzlist"/>
        <w:numPr>
          <w:ilvl w:val="0"/>
          <w:numId w:val="8"/>
        </w:numPr>
        <w:shd w:val="clear" w:color="auto" w:fill="FFFFFF"/>
        <w:spacing w:before="150" w:after="0" w:line="240" w:lineRule="auto"/>
        <w:jc w:val="both"/>
        <w:outlineLvl w:val="3"/>
        <w:rPr>
          <w:rFonts w:cs="Tahoma"/>
        </w:rPr>
      </w:pPr>
      <w:r w:rsidRPr="00662F03">
        <w:rPr>
          <w:rFonts w:cs="Tahoma"/>
        </w:rPr>
        <w:t>Lubuski Fundusz Pożyczkowy (punkt konsultacyjny dzi</w:t>
      </w:r>
      <w:r w:rsidR="00E87ACB" w:rsidRPr="00662F03">
        <w:rPr>
          <w:rFonts w:cs="Tahoma"/>
        </w:rPr>
        <w:t>ałający od 2010 roku),</w:t>
      </w:r>
    </w:p>
    <w:p w:rsidR="002F0A89" w:rsidRPr="00662F03" w:rsidRDefault="002F0A89" w:rsidP="00E87ACB">
      <w:pPr>
        <w:shd w:val="clear" w:color="auto" w:fill="FFFFFF"/>
        <w:jc w:val="both"/>
        <w:outlineLvl w:val="3"/>
        <w:rPr>
          <w:rFonts w:ascii="Calibri" w:hAnsi="Calibri" w:cs="Tahoma"/>
          <w:sz w:val="22"/>
        </w:rPr>
      </w:pPr>
      <w:r w:rsidRPr="00662F03">
        <w:rPr>
          <w:rFonts w:ascii="Calibri" w:hAnsi="Calibri" w:cs="Tahoma"/>
          <w:sz w:val="22"/>
        </w:rPr>
        <w:t xml:space="preserve">Lubuski Fundusz Pożyczkowy działa w strukturach Agencji Rozwoju Regionalnego S.A. w Zielonej Górze. Wspiera </w:t>
      </w:r>
      <w:r w:rsidR="00E87ACB" w:rsidRPr="00662F03">
        <w:rPr>
          <w:rFonts w:ascii="Calibri" w:hAnsi="Calibri" w:cs="Tahoma"/>
          <w:sz w:val="22"/>
        </w:rPr>
        <w:t>sektor mikro, małych i średnich</w:t>
      </w:r>
      <w:r w:rsidRPr="00662F03">
        <w:rPr>
          <w:rFonts w:ascii="Calibri" w:hAnsi="Calibri" w:cs="Tahoma"/>
          <w:sz w:val="22"/>
        </w:rPr>
        <w:t xml:space="preserve"> przedsiębiorstw inwestujących w całym województwie lubuskim, udziela pożyczek obrotowych i inwestycyjnych, w tym przeznaczonych na inwestycje finansowane z udziałem środków unijnych.</w:t>
      </w:r>
    </w:p>
    <w:p w:rsidR="002F0A89" w:rsidRPr="00662F03" w:rsidRDefault="002F0A89" w:rsidP="00835A51">
      <w:pPr>
        <w:pStyle w:val="Akapitzlist"/>
        <w:numPr>
          <w:ilvl w:val="0"/>
          <w:numId w:val="8"/>
        </w:numPr>
        <w:shd w:val="clear" w:color="auto" w:fill="FFFFFF"/>
        <w:spacing w:before="150" w:after="0" w:line="240" w:lineRule="auto"/>
        <w:jc w:val="both"/>
        <w:outlineLvl w:val="3"/>
        <w:rPr>
          <w:rFonts w:cs="Tahoma"/>
        </w:rPr>
      </w:pPr>
      <w:r w:rsidRPr="00662F03">
        <w:rPr>
          <w:rFonts w:cs="Tahoma"/>
        </w:rPr>
        <w:t>Organizacja Pracodawców Ziemi Lubuskiej (nowosolski oddział)</w:t>
      </w:r>
      <w:r w:rsidR="00E87ACB" w:rsidRPr="00662F03">
        <w:rPr>
          <w:rFonts w:cs="Tahoma"/>
        </w:rPr>
        <w:t>,</w:t>
      </w:r>
    </w:p>
    <w:p w:rsidR="002F0A89" w:rsidRPr="00662F03" w:rsidRDefault="002F0A89" w:rsidP="00E87ACB">
      <w:pPr>
        <w:shd w:val="clear" w:color="auto" w:fill="FFFFFF"/>
        <w:jc w:val="both"/>
        <w:outlineLvl w:val="3"/>
        <w:rPr>
          <w:rFonts w:ascii="Calibri" w:hAnsi="Calibri" w:cs="Tahoma"/>
          <w:sz w:val="22"/>
        </w:rPr>
      </w:pPr>
      <w:r w:rsidRPr="00662F03">
        <w:rPr>
          <w:rFonts w:ascii="Calibri" w:hAnsi="Calibri" w:cs="Tahoma"/>
          <w:sz w:val="22"/>
        </w:rPr>
        <w:t xml:space="preserve">Organizacja Pracodawców Ziemi Lubuskiej (OPZL) jest jedną z najstarszych instytucji otoczenia biznesu w regionie, zrzeszając na początku 2009 r. ponad 200 firm z całego regionu, niezależnie od branży czy wielkości. W zakresie działalności okołobiznesowej OPZL zajmuje się reprezentowaniem interesów przedsiębiorców, prowadzeniem szkoleń, doradztwa, informacji i promocji dla </w:t>
      </w:r>
      <w:r w:rsidRPr="00662F03">
        <w:rPr>
          <w:rFonts w:ascii="Calibri" w:hAnsi="Calibri" w:cs="Tahoma"/>
          <w:sz w:val="22"/>
        </w:rPr>
        <w:lastRenderedPageBreak/>
        <w:t>pracodawców, jak również podejmuje działania na rzecz rozwoju rynku pracy i przeciwdziałania bezrobociu</w:t>
      </w:r>
      <w:r w:rsidR="009E02A8" w:rsidRPr="00662F03">
        <w:rPr>
          <w:rFonts w:ascii="Calibri" w:hAnsi="Calibri" w:cs="Tahoma"/>
          <w:sz w:val="22"/>
        </w:rPr>
        <w:t>.</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Dodatkową pomoc we wspomaganiu procesu rozwoju innowacyjności oferują połączone siły </w:t>
      </w:r>
      <w:r w:rsidR="00E87ACB" w:rsidRPr="00662F03">
        <w:rPr>
          <w:rFonts w:ascii="Calibri" w:hAnsi="Calibri" w:cs="Tahoma"/>
          <w:sz w:val="22"/>
          <w:szCs w:val="22"/>
        </w:rPr>
        <w:t xml:space="preserve">Lubuskiego </w:t>
      </w:r>
      <w:r w:rsidRPr="00662F03">
        <w:rPr>
          <w:rFonts w:ascii="Calibri" w:hAnsi="Calibri" w:cs="Tahoma"/>
          <w:sz w:val="22"/>
          <w:szCs w:val="22"/>
        </w:rPr>
        <w:t xml:space="preserve">Trójmiasta Na terenie Zielonej Góry działają instytucje, które wspomagają rozwój innowacyjności we wszystkich miastach </w:t>
      </w:r>
      <w:r w:rsidR="00E87ACB" w:rsidRPr="00662F03">
        <w:rPr>
          <w:rFonts w:ascii="Calibri" w:hAnsi="Calibri" w:cs="Tahoma"/>
          <w:sz w:val="22"/>
          <w:szCs w:val="22"/>
        </w:rPr>
        <w:t xml:space="preserve">Lubuskiego </w:t>
      </w:r>
      <w:r w:rsidRPr="00662F03">
        <w:rPr>
          <w:rFonts w:ascii="Calibri" w:hAnsi="Calibri" w:cs="Tahoma"/>
          <w:sz w:val="22"/>
          <w:szCs w:val="22"/>
        </w:rPr>
        <w:t>Trójmiasta: Park Naukowo-Technologiczny Uniwersytetu Zielonogórskiego, Akademicki Inkubator Przedsiębiorczości, Centrum Przedsiębiorczości i Transferu Technologii, Lubuski Fundusz Pożyczkowy, Fundacja Rozwoju Inicjatyw Gospodarczych.</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Z informacji zawartych na stronach internetowych miasta wynika, że </w:t>
      </w:r>
      <w:r w:rsidR="00AF7BB4" w:rsidRPr="00662F03">
        <w:rPr>
          <w:rFonts w:ascii="Calibri" w:hAnsi="Calibri" w:cs="Tahoma"/>
          <w:sz w:val="22"/>
          <w:szCs w:val="22"/>
        </w:rPr>
        <w:t>rozpoczęto budowę</w:t>
      </w:r>
      <w:r w:rsidRPr="00662F03">
        <w:rPr>
          <w:rFonts w:ascii="Calibri" w:hAnsi="Calibri" w:cs="Tahoma"/>
          <w:sz w:val="22"/>
          <w:szCs w:val="22"/>
        </w:rPr>
        <w:t xml:space="preserve"> Parku Technologii i Logistyki Przemysłu INTERIOR w Nowej Soli realizowanego w ramach Lubuskiego Regionalnego Programu Operacyjnego na lata 2007-2013. Zachodni Park Technologiczny „Interior” w Nowej Soli ma przyczynić się do podniesienia konkurencyjności przedsiębiorstw oraz zainspirowania powstawania nowych firm, udostępniając im nowo</w:t>
      </w:r>
      <w:r w:rsidR="009C019F" w:rsidRPr="00662F03">
        <w:rPr>
          <w:rFonts w:ascii="Calibri" w:hAnsi="Calibri" w:cs="Tahoma"/>
          <w:sz w:val="22"/>
          <w:szCs w:val="22"/>
        </w:rPr>
        <w:t>czesną infrastrukturę biurową,</w:t>
      </w:r>
      <w:r w:rsidRPr="00662F03">
        <w:rPr>
          <w:rFonts w:ascii="Calibri" w:hAnsi="Calibri" w:cs="Tahoma"/>
          <w:sz w:val="22"/>
          <w:szCs w:val="22"/>
        </w:rPr>
        <w:t xml:space="preserve"> techniczną i laboratoryjną, pomagając we wdrożeniu do produkcji nowoczesnych technologii oraz zapewniając dostęp do usług doradczych i szkoleniowych oraz pomoc i ułatwienia w ubieganiu się o środki unijne.</w:t>
      </w:r>
    </w:p>
    <w:p w:rsidR="00F37F69" w:rsidRDefault="00E560CA"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t>Ponadto</w:t>
      </w:r>
      <w:r w:rsidR="002F0A89" w:rsidRPr="00662F03">
        <w:rPr>
          <w:rFonts w:ascii="Calibri" w:hAnsi="Calibri" w:cs="Tahoma"/>
          <w:sz w:val="22"/>
          <w:szCs w:val="22"/>
        </w:rPr>
        <w:t xml:space="preserve"> najważniejszą inwestycją wpływającą na rozwój innowacyjności w regionie, zwłaszcza w </w:t>
      </w:r>
      <w:r w:rsidR="00E87ACB" w:rsidRPr="00662F03">
        <w:rPr>
          <w:rFonts w:ascii="Calibri" w:hAnsi="Calibri" w:cs="Tahoma"/>
          <w:sz w:val="22"/>
          <w:szCs w:val="22"/>
        </w:rPr>
        <w:t xml:space="preserve">Lubuskim </w:t>
      </w:r>
      <w:r w:rsidR="002F0A89" w:rsidRPr="00662F03">
        <w:rPr>
          <w:rFonts w:ascii="Calibri" w:hAnsi="Calibri" w:cs="Tahoma"/>
          <w:sz w:val="22"/>
          <w:szCs w:val="22"/>
        </w:rPr>
        <w:t xml:space="preserve">Trójmieście jest </w:t>
      </w:r>
      <w:r w:rsidR="001362CC">
        <w:rPr>
          <w:rFonts w:ascii="Calibri" w:hAnsi="Calibri" w:cs="Tahoma"/>
          <w:sz w:val="22"/>
          <w:szCs w:val="22"/>
        </w:rPr>
        <w:t>Lubuski Park</w:t>
      </w:r>
      <w:r w:rsidR="00730770">
        <w:rPr>
          <w:rFonts w:ascii="Calibri" w:hAnsi="Calibri" w:cs="Tahoma"/>
          <w:sz w:val="22"/>
          <w:szCs w:val="22"/>
        </w:rPr>
        <w:t xml:space="preserve"> Przemysłowo-</w:t>
      </w:r>
      <w:r w:rsidR="00730770" w:rsidRPr="00730770">
        <w:rPr>
          <w:rFonts w:ascii="Calibri" w:hAnsi="Calibri" w:cs="Tahoma"/>
          <w:sz w:val="22"/>
          <w:szCs w:val="22"/>
        </w:rPr>
        <w:t>Technologiczny składa</w:t>
      </w:r>
      <w:r w:rsidR="00730770">
        <w:rPr>
          <w:rFonts w:ascii="Calibri" w:hAnsi="Calibri" w:cs="Tahoma"/>
          <w:sz w:val="22"/>
          <w:szCs w:val="22"/>
        </w:rPr>
        <w:t>jący</w:t>
      </w:r>
      <w:r w:rsidR="00730770" w:rsidRPr="00730770">
        <w:rPr>
          <w:rFonts w:ascii="Calibri" w:hAnsi="Calibri" w:cs="Tahoma"/>
          <w:sz w:val="22"/>
          <w:szCs w:val="22"/>
        </w:rPr>
        <w:t xml:space="preserve"> się z </w:t>
      </w:r>
      <w:r w:rsidR="003A2582">
        <w:rPr>
          <w:rFonts w:ascii="Calibri" w:hAnsi="Calibri" w:cs="Tahoma"/>
          <w:sz w:val="22"/>
          <w:szCs w:val="22"/>
        </w:rPr>
        <w:t>dwóch</w:t>
      </w:r>
      <w:r w:rsidR="00730770">
        <w:rPr>
          <w:rFonts w:ascii="Calibri" w:hAnsi="Calibri" w:cs="Tahoma"/>
          <w:sz w:val="22"/>
          <w:szCs w:val="22"/>
        </w:rPr>
        <w:t xml:space="preserve"> segmentów: Parku Naukowo-</w:t>
      </w:r>
      <w:r w:rsidR="00730770" w:rsidRPr="00730770">
        <w:rPr>
          <w:rFonts w:ascii="Calibri" w:hAnsi="Calibri" w:cs="Tahoma"/>
          <w:sz w:val="22"/>
          <w:szCs w:val="22"/>
        </w:rPr>
        <w:t>Technologicznego Uniwersytetu Zielonogórskiego oraz</w:t>
      </w:r>
      <w:r w:rsidR="003A2582">
        <w:rPr>
          <w:rFonts w:ascii="Calibri" w:hAnsi="Calibri" w:cs="Tahoma"/>
          <w:sz w:val="22"/>
          <w:szCs w:val="22"/>
        </w:rPr>
        <w:t xml:space="preserve"> Parku Przemysłowego, objętego w większości</w:t>
      </w:r>
      <w:r w:rsidR="00730770" w:rsidRPr="00730770">
        <w:rPr>
          <w:rFonts w:ascii="Calibri" w:hAnsi="Calibri" w:cs="Tahoma"/>
          <w:sz w:val="22"/>
          <w:szCs w:val="22"/>
        </w:rPr>
        <w:t xml:space="preserve"> Kostrzyńsko-Słubick</w:t>
      </w:r>
      <w:r w:rsidR="003A2582">
        <w:rPr>
          <w:rFonts w:ascii="Calibri" w:hAnsi="Calibri" w:cs="Tahoma"/>
          <w:sz w:val="22"/>
          <w:szCs w:val="22"/>
        </w:rPr>
        <w:t>ą</w:t>
      </w:r>
      <w:r w:rsidR="00730770" w:rsidRPr="00730770">
        <w:rPr>
          <w:rFonts w:ascii="Calibri" w:hAnsi="Calibri" w:cs="Tahoma"/>
          <w:sz w:val="22"/>
          <w:szCs w:val="22"/>
        </w:rPr>
        <w:t xml:space="preserve"> Specjaln</w:t>
      </w:r>
      <w:r w:rsidR="003A2582">
        <w:rPr>
          <w:rFonts w:ascii="Calibri" w:hAnsi="Calibri" w:cs="Tahoma"/>
          <w:sz w:val="22"/>
          <w:szCs w:val="22"/>
        </w:rPr>
        <w:t>ą</w:t>
      </w:r>
      <w:r w:rsidR="00730770" w:rsidRPr="00730770">
        <w:rPr>
          <w:rFonts w:ascii="Calibri" w:hAnsi="Calibri" w:cs="Tahoma"/>
          <w:sz w:val="22"/>
          <w:szCs w:val="22"/>
        </w:rPr>
        <w:t xml:space="preserve"> Stref</w:t>
      </w:r>
      <w:r w:rsidR="003A2582">
        <w:rPr>
          <w:rFonts w:ascii="Calibri" w:hAnsi="Calibri" w:cs="Tahoma"/>
          <w:sz w:val="22"/>
          <w:szCs w:val="22"/>
        </w:rPr>
        <w:t>ą</w:t>
      </w:r>
      <w:r w:rsidR="00730770" w:rsidRPr="00730770">
        <w:rPr>
          <w:rFonts w:ascii="Calibri" w:hAnsi="Calibri" w:cs="Tahoma"/>
          <w:sz w:val="22"/>
          <w:szCs w:val="22"/>
        </w:rPr>
        <w:t xml:space="preserve"> Ekonomiczn</w:t>
      </w:r>
      <w:r w:rsidR="00F37F69">
        <w:rPr>
          <w:rFonts w:ascii="Calibri" w:hAnsi="Calibri" w:cs="Tahoma"/>
          <w:sz w:val="22"/>
          <w:szCs w:val="22"/>
        </w:rPr>
        <w:t>ą.</w:t>
      </w:r>
    </w:p>
    <w:p w:rsidR="002F0A89" w:rsidRPr="00662F03" w:rsidRDefault="00730770" w:rsidP="004E5A9A">
      <w:pPr>
        <w:shd w:val="clear" w:color="auto" w:fill="FFFFFF"/>
        <w:spacing w:before="150" w:after="75"/>
        <w:jc w:val="both"/>
        <w:outlineLvl w:val="3"/>
        <w:rPr>
          <w:rFonts w:ascii="Calibri" w:hAnsi="Calibri" w:cs="Tahoma"/>
          <w:sz w:val="22"/>
          <w:szCs w:val="22"/>
        </w:rPr>
      </w:pPr>
      <w:r w:rsidRPr="00730770">
        <w:rPr>
          <w:rFonts w:ascii="Calibri" w:hAnsi="Calibri" w:cs="Tahoma"/>
          <w:sz w:val="22"/>
          <w:szCs w:val="22"/>
        </w:rPr>
        <w:t xml:space="preserve">Realizacja idei Parku </w:t>
      </w:r>
      <w:r w:rsidR="00C41148">
        <w:rPr>
          <w:rFonts w:ascii="Calibri" w:hAnsi="Calibri" w:cs="Tahoma"/>
          <w:sz w:val="22"/>
          <w:szCs w:val="22"/>
        </w:rPr>
        <w:t>Naukowo-</w:t>
      </w:r>
      <w:r w:rsidRPr="00730770">
        <w:rPr>
          <w:rFonts w:ascii="Calibri" w:hAnsi="Calibri" w:cs="Tahoma"/>
          <w:sz w:val="22"/>
          <w:szCs w:val="22"/>
        </w:rPr>
        <w:t xml:space="preserve">Technologicznego </w:t>
      </w:r>
      <w:r w:rsidR="00C41148">
        <w:rPr>
          <w:rFonts w:ascii="Calibri" w:hAnsi="Calibri" w:cs="Tahoma"/>
          <w:sz w:val="22"/>
          <w:szCs w:val="22"/>
        </w:rPr>
        <w:t xml:space="preserve">UZ </w:t>
      </w:r>
      <w:r w:rsidRPr="00730770">
        <w:rPr>
          <w:rFonts w:ascii="Calibri" w:hAnsi="Calibri" w:cs="Tahoma"/>
          <w:sz w:val="22"/>
          <w:szCs w:val="22"/>
        </w:rPr>
        <w:t>umożliwi transfer badań, nowoczesnych technologii i innowacji z obszaru nauki do gospodarki, a także wpłynie pozytywnie na wiele dziedzin życia. Projekt powstanie w ramach współpracy stron w zakresie tworzenia pomostu między nauką a przemysłem, rozwoju infrastruktury sfery B+R oraz wspierania innowacji i szeroko rozumianej przedsiębiorczości.</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badań dotyczących innowacyjności na terenie województwa lubuskiego przeprowadzonych w 2010 roku główne bariery w zakresie wdrażania innowacyjności w województwie tkwią w czynnikach finansowych. Lubuskie firmy zwracają uwagę na wysokie koszty prowadzenia działalności innowacyjnej, przy jednoczesnym braku wewnętrznych i zewnętrznych źródeł finansowania. Również istotny problem stanowią bariery biurokratyczne, czyli brak współpracy ze strony urzędów w zakresie rozwiązań innowacyjnych oraz nieodpowiednie uregulowania prawne. Przeszkodą są także problemy kadrowe oraz organizacyjne w przedsiębiorstwach, braki informacji na temat</w:t>
      </w:r>
      <w:r w:rsidR="009E02A8" w:rsidRPr="00662F03">
        <w:rPr>
          <w:rFonts w:ascii="Calibri" w:hAnsi="Calibri" w:cs="Tahoma"/>
          <w:sz w:val="22"/>
          <w:szCs w:val="22"/>
        </w:rPr>
        <w:t xml:space="preserve"> nowych technologii oraz rynku.</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przełamaniu barier, które napotykają firmy przy wdrażaniu innowacyjności wydaje się niezbędna zewnętrzna pomoc. Najlepszym rozwiązaniem wydają się wspólne działania instytucji samorządowych oraz naukowo-badawczych, zapewniające firmom informacje w jaki sposób można pokonać poszczególne bariery oraz pomoc w ich pokonywaniu</w:t>
      </w:r>
      <w:r w:rsidR="009E02A8" w:rsidRPr="00662F03">
        <w:rPr>
          <w:rFonts w:ascii="Calibri" w:hAnsi="Calibri" w:cs="Tahoma"/>
          <w:sz w:val="20"/>
          <w:vertAlign w:val="superscript"/>
        </w:rPr>
        <w:footnoteReference w:id="6"/>
      </w:r>
      <w:r w:rsidR="00BE7758" w:rsidRPr="00662F03">
        <w:rPr>
          <w:rFonts w:ascii="Calibri" w:hAnsi="Calibri" w:cs="Tahoma"/>
          <w:sz w:val="22"/>
          <w:szCs w:val="22"/>
        </w:rPr>
        <w:t>.</w:t>
      </w:r>
    </w:p>
    <w:p w:rsidR="002F0A89" w:rsidRPr="00662F03" w:rsidRDefault="002F0A89" w:rsidP="008A39A5">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terenie województwa lubuskiego działa kilka uczelni wyższych, natomiast niewiele jest ośrodków otoczenia biznesu i jednostek badawczo-rozwojowych. Ponadto nie wszystkie funkcjonujące instytucje wspierają przedsiębiorstwa w zakresie innowacyjności. Głównie ten zakres ogranicza się do doradztwa i szkoleń, brakuje natomiast zapewnienia dostępu do informacji na temat rynku ze strony jednostek B+R.</w:t>
      </w:r>
    </w:p>
    <w:p w:rsidR="002F0A89" w:rsidRPr="00662F03" w:rsidRDefault="002F0A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Ważną rolę we wprowadzaniu rozwiązań innowacyjnych odgrywają patenty. Z dostępnego zestawienia patentów, udzielonych przez Urząd Patentowy RP polskim podmiotom gospodarczym w 2007 roku, wynika, że z 367 zgłaszających 6 jednostek pocho</w:t>
      </w:r>
      <w:r w:rsidR="00BE7758" w:rsidRPr="00662F03">
        <w:rPr>
          <w:rFonts w:ascii="Calibri" w:hAnsi="Calibri" w:cs="Tahoma"/>
          <w:sz w:val="22"/>
          <w:szCs w:val="22"/>
        </w:rPr>
        <w:t>dziło z województwa lubuskiego</w:t>
      </w:r>
      <w:r w:rsidRPr="00662F03">
        <w:rPr>
          <w:rFonts w:ascii="Calibri" w:hAnsi="Calibri" w:cs="Tahoma"/>
          <w:sz w:val="22"/>
          <w:szCs w:val="22"/>
        </w:rPr>
        <w:t xml:space="preserve">, w tym </w:t>
      </w:r>
      <w:r w:rsidR="00BE7758" w:rsidRPr="00662F03">
        <w:rPr>
          <w:rFonts w:ascii="Calibri" w:hAnsi="Calibri" w:cs="Tahoma"/>
          <w:sz w:val="22"/>
          <w:szCs w:val="22"/>
        </w:rPr>
        <w:lastRenderedPageBreak/>
        <w:t>jedna</w:t>
      </w:r>
      <w:r w:rsidRPr="00662F03">
        <w:rPr>
          <w:rFonts w:ascii="Calibri" w:hAnsi="Calibri" w:cs="Tahoma"/>
          <w:sz w:val="22"/>
          <w:szCs w:val="22"/>
        </w:rPr>
        <w:t xml:space="preserve"> z Nowej Soli - Zakłady Jajczarskie OVOPOL Sp. z o.</w:t>
      </w:r>
      <w:r w:rsidR="00F906E1" w:rsidRPr="00662F03">
        <w:rPr>
          <w:rFonts w:ascii="Calibri" w:hAnsi="Calibri" w:cs="Tahoma"/>
          <w:sz w:val="22"/>
          <w:szCs w:val="22"/>
        </w:rPr>
        <w:t xml:space="preserve"> </w:t>
      </w:r>
      <w:r w:rsidRPr="00662F03">
        <w:rPr>
          <w:rFonts w:ascii="Calibri" w:hAnsi="Calibri" w:cs="Tahoma"/>
          <w:sz w:val="22"/>
          <w:szCs w:val="22"/>
        </w:rPr>
        <w:t>o., we współpracy z Uniwersytetem Przyrodniczym we Wrocławiu.</w:t>
      </w:r>
    </w:p>
    <w:p w:rsidR="00996028" w:rsidRPr="00662F03" w:rsidRDefault="00996028" w:rsidP="004E5A9A">
      <w:pPr>
        <w:shd w:val="clear" w:color="auto" w:fill="FFFFFF"/>
        <w:spacing w:before="150" w:after="75"/>
        <w:jc w:val="both"/>
        <w:outlineLvl w:val="3"/>
        <w:rPr>
          <w:rFonts w:ascii="Calibri" w:hAnsi="Calibri" w:cs="Tahoma"/>
          <w:sz w:val="22"/>
          <w:szCs w:val="22"/>
        </w:rPr>
      </w:pPr>
    </w:p>
    <w:p w:rsidR="00DB4C88" w:rsidRPr="00662F03" w:rsidRDefault="005433B6" w:rsidP="00DB4C88">
      <w:pPr>
        <w:shd w:val="clear" w:color="auto" w:fill="FFFFFF"/>
        <w:spacing w:before="150" w:after="75"/>
        <w:jc w:val="both"/>
        <w:outlineLvl w:val="3"/>
        <w:rPr>
          <w:rFonts w:ascii="Calibri" w:hAnsi="Calibri"/>
          <w:sz w:val="20"/>
          <w:szCs w:val="22"/>
        </w:rPr>
      </w:pPr>
      <w:r>
        <w:rPr>
          <w:rFonts w:ascii="Calibri" w:hAnsi="Calibri"/>
          <w:sz w:val="20"/>
          <w:szCs w:val="22"/>
        </w:rPr>
      </w:r>
      <w:r w:rsidR="00D24064">
        <w:rPr>
          <w:rFonts w:ascii="Calibri" w:hAnsi="Calibri"/>
          <w:sz w:val="20"/>
          <w:szCs w:val="22"/>
        </w:rPr>
        <w:pict>
          <v:rect id="_x0000_s1049" style="width:449.8pt;height:130pt;rotation:-360;mso-position-horizontal-relative:char;mso-position-vertical-relative:line" o:allowincell="f" fillcolor="#a7bfde" stroked="f">
            <v:fill opacity="13107f"/>
            <v:imagedata embosscolor="shadow add(51)"/>
            <v:shadow on="t" color="#d4cfb3" opacity=".5" offset="19pt,-21pt" offset2="26pt,-30pt"/>
            <v:textbox style="mso-next-textbox:#_x0000_s1049;mso-fit-shape-to-text:t" inset="28.8pt,7.2pt,14.4pt,28.8pt">
              <w:txbxContent>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3A7BAE">
                  <w:pPr>
                    <w:jc w:val="both"/>
                    <w:rPr>
                      <w:rFonts w:ascii="Calibri" w:hAnsi="Calibri"/>
                      <w:i/>
                      <w:iCs/>
                      <w:color w:val="1F497D"/>
                      <w:sz w:val="22"/>
                      <w:szCs w:val="28"/>
                    </w:rPr>
                  </w:pPr>
                  <w:r>
                    <w:rPr>
                      <w:rFonts w:ascii="Calibri" w:hAnsi="Calibri"/>
                      <w:bCs/>
                      <w:i/>
                      <w:iCs/>
                      <w:color w:val="1F497D"/>
                      <w:sz w:val="22"/>
                      <w:szCs w:val="28"/>
                    </w:rPr>
                    <w:t>Placówki oświatowe są coraz lepiej wyposażone w komputery, także z dostępem do Internetu. W Nowej Soli nie ma uczelni wyższej, absolwenci szkół ponadgimnazjalnych mogą kontynuować naukę w pobliskim ośrodku akademickim – Zielonej Górze, a także w Sulechowie.</w:t>
                  </w:r>
                </w:p>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Przeszkodą w rozwoju sektora B+R są niskie nakłady i niewystarczająca infrastruktura w sektorze oraz słaba współpraca między instytucjami naukowymi i przedsiębiorstwami.</w:t>
                  </w:r>
                </w:p>
                <w:p w:rsidR="00D24064" w:rsidRDefault="00D24064" w:rsidP="00DB4C88">
                  <w:pPr>
                    <w:jc w:val="both"/>
                    <w:rPr>
                      <w:rFonts w:ascii="Calibri" w:hAnsi="Calibri"/>
                      <w:i/>
                      <w:iCs/>
                      <w:color w:val="1F497D"/>
                      <w:sz w:val="22"/>
                      <w:szCs w:val="28"/>
                    </w:rPr>
                  </w:pPr>
                  <w:r>
                    <w:rPr>
                      <w:rFonts w:ascii="Calibri" w:hAnsi="Calibri"/>
                      <w:i/>
                      <w:iCs/>
                      <w:color w:val="1F497D"/>
                      <w:sz w:val="22"/>
                      <w:szCs w:val="28"/>
                    </w:rPr>
                    <w:t>W Nowej Soli s</w:t>
                  </w:r>
                  <w:r w:rsidRPr="00EC0E96">
                    <w:rPr>
                      <w:rFonts w:ascii="Calibri" w:hAnsi="Calibri"/>
                      <w:i/>
                      <w:iCs/>
                      <w:color w:val="1F497D"/>
                      <w:sz w:val="22"/>
                      <w:szCs w:val="28"/>
                    </w:rPr>
                    <w:t>łabo rozwinięt</w:t>
                  </w:r>
                  <w:r>
                    <w:rPr>
                      <w:rFonts w:ascii="Calibri" w:hAnsi="Calibri"/>
                      <w:i/>
                      <w:iCs/>
                      <w:color w:val="1F497D"/>
                      <w:sz w:val="22"/>
                      <w:szCs w:val="28"/>
                    </w:rPr>
                    <w:t>y jest sektor otoczenia biznesu, brakuje wsparcia dla rozwoju przedsiębiorczości młodych ludzi.</w:t>
                  </w:r>
                </w:p>
                <w:p w:rsidR="00D24064" w:rsidRPr="00C14D03" w:rsidRDefault="00D24064" w:rsidP="00C14D03">
                  <w:pPr>
                    <w:jc w:val="both"/>
                    <w:rPr>
                      <w:rFonts w:ascii="Calibri" w:hAnsi="Calibri"/>
                      <w:i/>
                      <w:iCs/>
                      <w:color w:val="1F497D"/>
                      <w:sz w:val="22"/>
                      <w:szCs w:val="28"/>
                    </w:rPr>
                  </w:pPr>
                  <w:r>
                    <w:rPr>
                      <w:rFonts w:ascii="Calibri" w:hAnsi="Calibri"/>
                      <w:i/>
                      <w:iCs/>
                      <w:color w:val="1F497D"/>
                      <w:sz w:val="22"/>
                      <w:szCs w:val="28"/>
                    </w:rPr>
                    <w:t xml:space="preserve">Instytucje wspomagające rozwój innowacyjności zlokalizowane są głównie w Zielonej Górze. Rozwój innowacyjności i nowoczesnych technologii w Nowej Soli będzie możliwy po ukończeniu budowy </w:t>
                  </w:r>
                  <w:r w:rsidRPr="00F63B02">
                    <w:rPr>
                      <w:rFonts w:ascii="Calibri" w:hAnsi="Calibri"/>
                      <w:i/>
                      <w:iCs/>
                      <w:color w:val="1F497D"/>
                      <w:sz w:val="22"/>
                      <w:szCs w:val="28"/>
                    </w:rPr>
                    <w:t>Parku Technologii i Logistyki Przemysłu INTERIOR</w:t>
                  </w:r>
                  <w:r>
                    <w:rPr>
                      <w:rFonts w:ascii="Calibri" w:hAnsi="Calibri"/>
                      <w:i/>
                      <w:iCs/>
                      <w:color w:val="1F497D"/>
                      <w:sz w:val="22"/>
                      <w:szCs w:val="28"/>
                    </w:rPr>
                    <w:t>.</w:t>
                  </w:r>
                </w:p>
              </w:txbxContent>
            </v:textbox>
            <w10:wrap type="none" anchorx="margin" anchory="page"/>
            <w10:anchorlock/>
          </v:rect>
        </w:pict>
      </w:r>
    </w:p>
    <w:p w:rsidR="00856BD1" w:rsidRPr="00662F03" w:rsidRDefault="00856BD1" w:rsidP="004E5A9A">
      <w:pPr>
        <w:rPr>
          <w:rFonts w:ascii="Calibri" w:hAnsi="Calibri"/>
          <w:sz w:val="20"/>
          <w:szCs w:val="22"/>
        </w:rPr>
      </w:pPr>
    </w:p>
    <w:p w:rsidR="00270B39" w:rsidRPr="00662F03" w:rsidRDefault="003451FE" w:rsidP="007F5FC1">
      <w:pPr>
        <w:pStyle w:val="Nagwek2"/>
        <w:numPr>
          <w:ilvl w:val="1"/>
          <w:numId w:val="1"/>
        </w:numPr>
        <w:spacing w:line="240" w:lineRule="auto"/>
        <w:rPr>
          <w:rFonts w:ascii="Calibri" w:hAnsi="Calibri"/>
          <w:color w:val="17365D"/>
          <w:sz w:val="22"/>
          <w:szCs w:val="22"/>
        </w:rPr>
      </w:pPr>
      <w:bookmarkStart w:id="38" w:name="_Toc316395257"/>
      <w:r w:rsidRPr="00662F03">
        <w:rPr>
          <w:rFonts w:ascii="Calibri" w:hAnsi="Calibri"/>
          <w:color w:val="17365D"/>
          <w:sz w:val="22"/>
          <w:szCs w:val="22"/>
        </w:rPr>
        <w:t>Infrastruktura techniczna</w:t>
      </w:r>
      <w:bookmarkEnd w:id="38"/>
    </w:p>
    <w:p w:rsidR="00216782" w:rsidRPr="00662F03" w:rsidRDefault="00781B3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Większość mieszkańców Nowej Soli ma dobry</w:t>
      </w:r>
      <w:r w:rsidR="00121B9B" w:rsidRPr="00662F03">
        <w:rPr>
          <w:rFonts w:ascii="Calibri" w:hAnsi="Calibri" w:cs="Tahoma"/>
          <w:sz w:val="22"/>
          <w:szCs w:val="22"/>
        </w:rPr>
        <w:t xml:space="preserve"> dostęp do podstawowych mediów komunalnych.</w:t>
      </w:r>
      <w:r w:rsidR="0015605E" w:rsidRPr="00662F03">
        <w:rPr>
          <w:rFonts w:ascii="Calibri" w:hAnsi="Calibri" w:cs="Tahoma"/>
          <w:sz w:val="22"/>
          <w:szCs w:val="22"/>
        </w:rPr>
        <w:t xml:space="preserve"> </w:t>
      </w:r>
      <w:r w:rsidR="00216782" w:rsidRPr="00662F03">
        <w:rPr>
          <w:rFonts w:ascii="Calibri" w:hAnsi="Calibri" w:cs="Tahoma"/>
          <w:sz w:val="22"/>
          <w:szCs w:val="22"/>
        </w:rPr>
        <w:t xml:space="preserve">W Nowej Soli zlokalizowany jest wodociąg publiczny zaopatrujący w wodę mieszkańców miasta, a także okolicznych miejscowości: Rudno, Kiełcz, Stara Wieś, Lubieszów, Wrociszów. </w:t>
      </w:r>
      <w:r w:rsidR="004A20A7" w:rsidRPr="00662F03">
        <w:rPr>
          <w:rFonts w:ascii="Calibri" w:hAnsi="Calibri" w:cs="Tahoma"/>
          <w:sz w:val="22"/>
          <w:szCs w:val="22"/>
        </w:rPr>
        <w:t xml:space="preserve">Miejski Zakład Gospodarki Komunalnej Sp. z o.o. w Nowej Soli eksploatuje sieci wodociągowe na terenie miasta Nowa Sól. Łączna długość sieci wodociągowej eksploatowanej w końcu 2009 roku wynosiła ok. 100 km, w tym sieć rozdzielcza 82 km. Stopień zwodociągowania </w:t>
      </w:r>
      <w:r w:rsidR="00F906E1" w:rsidRPr="00662F03">
        <w:rPr>
          <w:rFonts w:ascii="Calibri" w:hAnsi="Calibri" w:cs="Tahoma"/>
          <w:sz w:val="22"/>
          <w:szCs w:val="22"/>
        </w:rPr>
        <w:t xml:space="preserve">dla Miasta Nowa Sól wynosi </w:t>
      </w:r>
      <w:r w:rsidR="004A20A7" w:rsidRPr="00662F03">
        <w:rPr>
          <w:rFonts w:ascii="Calibri" w:hAnsi="Calibri" w:cs="Tahoma"/>
          <w:sz w:val="22"/>
          <w:szCs w:val="22"/>
        </w:rPr>
        <w:t xml:space="preserve">99%. </w:t>
      </w:r>
      <w:r w:rsidR="00C92385" w:rsidRPr="00662F03">
        <w:rPr>
          <w:rFonts w:ascii="Calibri" w:hAnsi="Calibri" w:cs="Tahoma"/>
          <w:sz w:val="22"/>
          <w:szCs w:val="22"/>
        </w:rPr>
        <w:t>W 2009 r. do gospodarstw domowych w mieście dostarczono 1192,5 dam</w:t>
      </w:r>
      <w:r w:rsidR="00C92385" w:rsidRPr="00662F03">
        <w:rPr>
          <w:rFonts w:ascii="Calibri" w:hAnsi="Calibri" w:cs="Tahoma"/>
          <w:sz w:val="22"/>
          <w:szCs w:val="22"/>
          <w:vertAlign w:val="superscript"/>
        </w:rPr>
        <w:t>3</w:t>
      </w:r>
      <w:r w:rsidR="00C92385" w:rsidRPr="00662F03">
        <w:rPr>
          <w:rFonts w:ascii="Calibri" w:hAnsi="Calibri" w:cs="Tahoma"/>
          <w:sz w:val="22"/>
          <w:szCs w:val="22"/>
        </w:rPr>
        <w:t xml:space="preserve"> wody, tj. o 8% mniej niż w 2003 r. Przeciętnie każdy mieszkaniec zużył</w:t>
      </w:r>
      <w:r w:rsidR="00E763B0" w:rsidRPr="00662F03">
        <w:rPr>
          <w:rFonts w:ascii="Calibri" w:hAnsi="Calibri" w:cs="Tahoma"/>
          <w:sz w:val="22"/>
          <w:szCs w:val="22"/>
        </w:rPr>
        <w:t xml:space="preserve"> prawie 30 </w:t>
      </w:r>
      <w:r w:rsidR="00C92385" w:rsidRPr="00662F03">
        <w:rPr>
          <w:rFonts w:ascii="Calibri" w:hAnsi="Calibri" w:cs="Tahoma"/>
          <w:sz w:val="22"/>
          <w:szCs w:val="22"/>
        </w:rPr>
        <w:t>m</w:t>
      </w:r>
      <w:r w:rsidR="00C92385" w:rsidRPr="00662F03">
        <w:rPr>
          <w:rFonts w:ascii="Calibri" w:hAnsi="Calibri" w:cs="Tahoma"/>
          <w:sz w:val="22"/>
          <w:szCs w:val="22"/>
          <w:vertAlign w:val="superscript"/>
        </w:rPr>
        <w:t>3</w:t>
      </w:r>
      <w:r w:rsidR="00C92385" w:rsidRPr="00662F03">
        <w:rPr>
          <w:rFonts w:ascii="Calibri" w:hAnsi="Calibri" w:cs="Tahoma"/>
          <w:sz w:val="22"/>
          <w:szCs w:val="22"/>
        </w:rPr>
        <w:t xml:space="preserve"> wody, tj. o 6% mniej niż przed sześcioma laty.</w:t>
      </w:r>
    </w:p>
    <w:p w:rsidR="00501E9E" w:rsidRPr="00662F03" w:rsidRDefault="00A1115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Stan techniczny sieci wodociągowych jest dobry. Większość wykorzystywanych obecnie elementów została zbudowana współcześnie. Odcinki sieci wodociągowych pochodzących sprzed kilkudziesięciu lat są na bieżąco wymieniane wraz z przyłączami wodociągowymi. </w:t>
      </w:r>
      <w:r w:rsidR="00501E9E" w:rsidRPr="00662F03">
        <w:rPr>
          <w:rFonts w:ascii="Calibri" w:hAnsi="Calibri" w:cs="Tahoma"/>
          <w:sz w:val="22"/>
          <w:szCs w:val="22"/>
        </w:rPr>
        <w:t>Obecnie Miejski Zakład Gospodarki Komunalnej Sp. z o.o. prowadzi roboty budowlane związane z budową, wymianą sieci i przyłączy wodociągowych (ok. 45,5 km), modernizacją Stacji Uzdatniania Wody Nr 1 przy ul. Wojska Polskiego w Nowej Soli oraz likwidacją Stacji Uzdatniania Wody Nr 2 w Zakęciu.</w:t>
      </w:r>
    </w:p>
    <w:p w:rsidR="00DD0FC9" w:rsidRDefault="00EA1C8D" w:rsidP="0029538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końcu 2009 r. w gminach powiatu nowosolskiego długość czynnej sieci kanalizacyjnej wyniosł</w:t>
      </w:r>
      <w:r w:rsidR="00E763B0" w:rsidRPr="00662F03">
        <w:rPr>
          <w:rFonts w:ascii="Calibri" w:hAnsi="Calibri" w:cs="Tahoma"/>
          <w:sz w:val="22"/>
          <w:szCs w:val="22"/>
        </w:rPr>
        <w:t>a 134</w:t>
      </w:r>
      <w:r w:rsidRPr="00662F03">
        <w:rPr>
          <w:rFonts w:ascii="Calibri" w:hAnsi="Calibri" w:cs="Tahoma"/>
          <w:sz w:val="22"/>
          <w:szCs w:val="22"/>
        </w:rPr>
        <w:t xml:space="preserve"> km, </w:t>
      </w:r>
      <w:r w:rsidR="00E763B0" w:rsidRPr="00662F03">
        <w:rPr>
          <w:rFonts w:ascii="Calibri" w:hAnsi="Calibri" w:cs="Tahoma"/>
          <w:sz w:val="22"/>
          <w:szCs w:val="22"/>
        </w:rPr>
        <w:t>n</w:t>
      </w:r>
      <w:r w:rsidRPr="00662F03">
        <w:rPr>
          <w:rFonts w:ascii="Calibri" w:hAnsi="Calibri" w:cs="Tahoma"/>
          <w:sz w:val="22"/>
          <w:szCs w:val="22"/>
        </w:rPr>
        <w:t>ajdłuż</w:t>
      </w:r>
      <w:r w:rsidR="00E763B0" w:rsidRPr="00662F03">
        <w:rPr>
          <w:rFonts w:ascii="Calibri" w:hAnsi="Calibri" w:cs="Tahoma"/>
          <w:sz w:val="22"/>
          <w:szCs w:val="22"/>
        </w:rPr>
        <w:t xml:space="preserve">sza sieć </w:t>
      </w:r>
      <w:r w:rsidRPr="00662F03">
        <w:rPr>
          <w:rFonts w:ascii="Calibri" w:hAnsi="Calibri" w:cs="Tahoma"/>
          <w:sz w:val="22"/>
          <w:szCs w:val="22"/>
        </w:rPr>
        <w:t xml:space="preserve">była w gminie miejskiej </w:t>
      </w:r>
      <w:r w:rsidR="00A41FD4" w:rsidRPr="00662F03">
        <w:rPr>
          <w:rFonts w:ascii="Calibri" w:hAnsi="Calibri" w:cs="Tahoma"/>
          <w:sz w:val="22"/>
          <w:szCs w:val="22"/>
        </w:rPr>
        <w:t>Nowa Sól,</w:t>
      </w:r>
      <w:r w:rsidRPr="00662F03">
        <w:rPr>
          <w:rFonts w:ascii="Calibri" w:hAnsi="Calibri" w:cs="Tahoma"/>
          <w:sz w:val="22"/>
          <w:szCs w:val="22"/>
        </w:rPr>
        <w:t xml:space="preserve"> stanowiła połowę długości sieci znajdującej się na terenie powiatu.</w:t>
      </w:r>
      <w:r w:rsidR="0084383A" w:rsidRPr="00662F03">
        <w:rPr>
          <w:rFonts w:ascii="Calibri" w:hAnsi="Calibri" w:cs="Tahoma"/>
          <w:sz w:val="22"/>
          <w:szCs w:val="22"/>
        </w:rPr>
        <w:t xml:space="preserve"> W 2009 r. użytkownicy </w:t>
      </w:r>
      <w:r w:rsidR="008A508C" w:rsidRPr="00662F03">
        <w:rPr>
          <w:rFonts w:ascii="Calibri" w:hAnsi="Calibri" w:cs="Tahoma"/>
          <w:sz w:val="22"/>
          <w:szCs w:val="22"/>
        </w:rPr>
        <w:t xml:space="preserve">z Nowej Soli </w:t>
      </w:r>
      <w:r w:rsidR="0084383A" w:rsidRPr="00662F03">
        <w:rPr>
          <w:rFonts w:ascii="Calibri" w:hAnsi="Calibri" w:cs="Tahoma"/>
          <w:sz w:val="22"/>
          <w:szCs w:val="22"/>
        </w:rPr>
        <w:t>odprowadzili do sieci kanalizacyjnej łącznie 1547 dam</w:t>
      </w:r>
      <w:r w:rsidR="0084383A" w:rsidRPr="00662F03">
        <w:rPr>
          <w:rFonts w:ascii="Calibri" w:hAnsi="Calibri" w:cs="Tahoma"/>
          <w:sz w:val="22"/>
          <w:szCs w:val="22"/>
          <w:vertAlign w:val="superscript"/>
        </w:rPr>
        <w:t>3</w:t>
      </w:r>
      <w:r w:rsidR="0084383A" w:rsidRPr="00662F03">
        <w:rPr>
          <w:rFonts w:ascii="Calibri" w:hAnsi="Calibri" w:cs="Tahoma"/>
          <w:sz w:val="22"/>
          <w:szCs w:val="22"/>
        </w:rPr>
        <w:t xml:space="preserve"> ścieków, tj. prawie 77% ścieków odprowadzonych w powiecie nowosolskim. Gęstość sieci kanalizacyjnej na 100 km</w:t>
      </w:r>
      <w:r w:rsidR="0084383A" w:rsidRPr="00662F03">
        <w:rPr>
          <w:rFonts w:ascii="Calibri" w:hAnsi="Calibri" w:cs="Tahoma"/>
          <w:sz w:val="22"/>
          <w:szCs w:val="22"/>
          <w:vertAlign w:val="superscript"/>
        </w:rPr>
        <w:t>2</w:t>
      </w:r>
      <w:r w:rsidR="0084383A" w:rsidRPr="00662F03">
        <w:rPr>
          <w:rFonts w:ascii="Calibri" w:hAnsi="Calibri" w:cs="Tahoma"/>
          <w:sz w:val="22"/>
          <w:szCs w:val="22"/>
        </w:rPr>
        <w:t xml:space="preserve"> wyniosła na terenie powiatu 17,4 km, </w:t>
      </w:r>
      <w:r w:rsidR="00E763B0" w:rsidRPr="00662F03">
        <w:rPr>
          <w:rFonts w:ascii="Calibri" w:hAnsi="Calibri" w:cs="Tahoma"/>
          <w:sz w:val="22"/>
          <w:szCs w:val="22"/>
        </w:rPr>
        <w:t>n</w:t>
      </w:r>
      <w:r w:rsidR="0084383A" w:rsidRPr="00662F03">
        <w:rPr>
          <w:rFonts w:ascii="Calibri" w:hAnsi="Calibri" w:cs="Tahoma"/>
          <w:sz w:val="22"/>
          <w:szCs w:val="22"/>
        </w:rPr>
        <w:t>ajbardziej zagęszczon</w:t>
      </w:r>
      <w:r w:rsidR="008A508C" w:rsidRPr="00662F03">
        <w:rPr>
          <w:rFonts w:ascii="Calibri" w:hAnsi="Calibri" w:cs="Tahoma"/>
          <w:sz w:val="22"/>
          <w:szCs w:val="22"/>
        </w:rPr>
        <w:t>a</w:t>
      </w:r>
      <w:r w:rsidR="0084383A" w:rsidRPr="00662F03">
        <w:rPr>
          <w:rFonts w:ascii="Calibri" w:hAnsi="Calibri" w:cs="Tahoma"/>
          <w:sz w:val="22"/>
          <w:szCs w:val="22"/>
        </w:rPr>
        <w:t xml:space="preserve"> sie</w:t>
      </w:r>
      <w:r w:rsidR="008A508C" w:rsidRPr="00662F03">
        <w:rPr>
          <w:rFonts w:ascii="Calibri" w:hAnsi="Calibri" w:cs="Tahoma"/>
          <w:sz w:val="22"/>
          <w:szCs w:val="22"/>
        </w:rPr>
        <w:t>ć</w:t>
      </w:r>
      <w:r w:rsidR="0084383A" w:rsidRPr="00662F03">
        <w:rPr>
          <w:rFonts w:ascii="Calibri" w:hAnsi="Calibri" w:cs="Tahoma"/>
          <w:sz w:val="22"/>
          <w:szCs w:val="22"/>
        </w:rPr>
        <w:t xml:space="preserve"> kanalizacyjn</w:t>
      </w:r>
      <w:r w:rsidR="008A508C" w:rsidRPr="00662F03">
        <w:rPr>
          <w:rFonts w:ascii="Calibri" w:hAnsi="Calibri" w:cs="Tahoma"/>
          <w:sz w:val="22"/>
          <w:szCs w:val="22"/>
        </w:rPr>
        <w:t>a</w:t>
      </w:r>
      <w:r w:rsidR="0084383A" w:rsidRPr="00662F03">
        <w:rPr>
          <w:rFonts w:ascii="Calibri" w:hAnsi="Calibri" w:cs="Tahoma"/>
          <w:sz w:val="22"/>
          <w:szCs w:val="22"/>
        </w:rPr>
        <w:t xml:space="preserve"> </w:t>
      </w:r>
      <w:r w:rsidR="008A508C" w:rsidRPr="00662F03">
        <w:rPr>
          <w:rFonts w:ascii="Calibri" w:hAnsi="Calibri" w:cs="Tahoma"/>
          <w:sz w:val="22"/>
          <w:szCs w:val="22"/>
        </w:rPr>
        <w:t>w powiecie występuje</w:t>
      </w:r>
      <w:r w:rsidR="0084383A" w:rsidRPr="00662F03">
        <w:rPr>
          <w:rFonts w:ascii="Calibri" w:hAnsi="Calibri" w:cs="Tahoma"/>
          <w:sz w:val="22"/>
          <w:szCs w:val="22"/>
        </w:rPr>
        <w:t xml:space="preserve"> na terenie miasta Nowa Sól</w:t>
      </w:r>
      <w:r w:rsidR="008C00E4" w:rsidRPr="00662F03">
        <w:rPr>
          <w:rFonts w:ascii="Calibri" w:hAnsi="Calibri" w:cs="Tahoma"/>
          <w:sz w:val="22"/>
          <w:szCs w:val="22"/>
        </w:rPr>
        <w:t xml:space="preserve"> </w:t>
      </w:r>
      <w:r w:rsidR="008A508C" w:rsidRPr="00662F03">
        <w:rPr>
          <w:rFonts w:ascii="Calibri" w:hAnsi="Calibri" w:cs="Tahoma"/>
          <w:sz w:val="22"/>
          <w:szCs w:val="22"/>
        </w:rPr>
        <w:t xml:space="preserve">- </w:t>
      </w:r>
      <w:r w:rsidR="00BE7758" w:rsidRPr="00662F03">
        <w:rPr>
          <w:rFonts w:ascii="Calibri" w:hAnsi="Calibri" w:cs="Tahoma"/>
          <w:sz w:val="22"/>
          <w:szCs w:val="22"/>
        </w:rPr>
        <w:t>301</w:t>
      </w:r>
      <w:r w:rsidR="0084383A" w:rsidRPr="00662F03">
        <w:rPr>
          <w:rFonts w:ascii="Calibri" w:hAnsi="Calibri" w:cs="Tahoma"/>
          <w:sz w:val="22"/>
          <w:szCs w:val="22"/>
        </w:rPr>
        <w:t xml:space="preserve"> km na 100 km</w:t>
      </w:r>
      <w:r w:rsidR="0084383A" w:rsidRPr="00662F03">
        <w:rPr>
          <w:rFonts w:ascii="Calibri" w:hAnsi="Calibri" w:cs="Tahoma"/>
          <w:sz w:val="22"/>
          <w:szCs w:val="22"/>
          <w:vertAlign w:val="superscript"/>
        </w:rPr>
        <w:t>2</w:t>
      </w:r>
      <w:r w:rsidR="008C00E4" w:rsidRPr="00662F03">
        <w:rPr>
          <w:rFonts w:ascii="Calibri" w:hAnsi="Calibri" w:cs="Tahoma"/>
          <w:sz w:val="22"/>
          <w:szCs w:val="22"/>
        </w:rPr>
        <w:t>.</w:t>
      </w:r>
      <w:r w:rsidR="00340D85" w:rsidRPr="00662F03">
        <w:rPr>
          <w:rFonts w:ascii="Calibri" w:hAnsi="Calibri" w:cs="Tahoma"/>
          <w:sz w:val="22"/>
          <w:szCs w:val="22"/>
        </w:rPr>
        <w:t xml:space="preserve"> </w:t>
      </w:r>
      <w:r w:rsidR="005E0EAE" w:rsidRPr="00662F03">
        <w:rPr>
          <w:rFonts w:ascii="Calibri" w:hAnsi="Calibri" w:cs="Tahoma"/>
          <w:sz w:val="22"/>
          <w:szCs w:val="22"/>
        </w:rPr>
        <w:t>W powiecie 59</w:t>
      </w:r>
      <w:r w:rsidR="00340D85" w:rsidRPr="00662F03">
        <w:rPr>
          <w:rFonts w:ascii="Calibri" w:hAnsi="Calibri" w:cs="Tahoma"/>
          <w:sz w:val="22"/>
          <w:szCs w:val="22"/>
        </w:rPr>
        <w:t xml:space="preserve">% ogółu ludności korzystało z sieci kanalizacyjnej, w Nowej </w:t>
      </w:r>
      <w:r w:rsidR="008A508C" w:rsidRPr="00662F03">
        <w:rPr>
          <w:rFonts w:ascii="Calibri" w:hAnsi="Calibri" w:cs="Tahoma"/>
          <w:sz w:val="22"/>
          <w:szCs w:val="22"/>
        </w:rPr>
        <w:t>S</w:t>
      </w:r>
      <w:r w:rsidR="005E0EAE" w:rsidRPr="00662F03">
        <w:rPr>
          <w:rFonts w:ascii="Calibri" w:hAnsi="Calibri" w:cs="Tahoma"/>
          <w:sz w:val="22"/>
          <w:szCs w:val="22"/>
        </w:rPr>
        <w:t>oli wskaźnik ten wynosił 87</w:t>
      </w:r>
      <w:r w:rsidR="00340D85" w:rsidRPr="00662F03">
        <w:rPr>
          <w:rFonts w:ascii="Calibri" w:hAnsi="Calibri" w:cs="Tahoma"/>
          <w:sz w:val="22"/>
          <w:szCs w:val="22"/>
        </w:rPr>
        <w:t>%.</w:t>
      </w:r>
    </w:p>
    <w:p w:rsidR="001417DC" w:rsidRDefault="001417DC">
      <w:pPr>
        <w:rPr>
          <w:rFonts w:ascii="Calibri" w:hAnsi="Calibri" w:cs="Tahoma"/>
          <w:sz w:val="22"/>
          <w:szCs w:val="22"/>
        </w:rPr>
      </w:pPr>
      <w:bookmarkStart w:id="39" w:name="_Toc315790493"/>
      <w:r>
        <w:rPr>
          <w:rFonts w:ascii="Calibri" w:hAnsi="Calibri" w:cs="Tahoma"/>
          <w:sz w:val="22"/>
          <w:szCs w:val="22"/>
        </w:rPr>
        <w:br w:type="page"/>
      </w:r>
    </w:p>
    <w:p w:rsidR="00A05146" w:rsidRPr="00926EA5" w:rsidRDefault="0097472E" w:rsidP="004E5A9A">
      <w:pPr>
        <w:shd w:val="clear" w:color="auto" w:fill="FFFFFF"/>
        <w:spacing w:before="150" w:after="75"/>
        <w:jc w:val="both"/>
        <w:outlineLvl w:val="3"/>
        <w:rPr>
          <w:rFonts w:ascii="Calibri" w:hAnsi="Calibri" w:cs="Tahoma"/>
          <w:szCs w:val="22"/>
        </w:rPr>
      </w:pPr>
      <w:r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24</w:t>
      </w:r>
      <w:r w:rsidR="005433B6" w:rsidRPr="00662F03">
        <w:rPr>
          <w:rFonts w:ascii="Calibri" w:hAnsi="Calibri" w:cs="Tahoma"/>
          <w:sz w:val="20"/>
          <w:szCs w:val="22"/>
        </w:rPr>
        <w:fldChar w:fldCharType="end"/>
      </w:r>
      <w:r w:rsidRPr="00662F03">
        <w:rPr>
          <w:rFonts w:ascii="Calibri" w:hAnsi="Calibri" w:cs="Tahoma"/>
          <w:sz w:val="20"/>
          <w:szCs w:val="22"/>
        </w:rPr>
        <w:t>.</w:t>
      </w:r>
      <w:r w:rsidR="00926EA5" w:rsidRPr="00926EA5">
        <w:rPr>
          <w:b/>
          <w:bCs/>
          <w:color w:val="000000"/>
          <w:kern w:val="24"/>
          <w:sz w:val="20"/>
          <w:szCs w:val="20"/>
        </w:rPr>
        <w:t xml:space="preserve"> </w:t>
      </w:r>
      <w:r w:rsidR="00926EA5" w:rsidRPr="00926EA5">
        <w:rPr>
          <w:rFonts w:ascii="Calibri" w:hAnsi="Calibri" w:cs="Tahoma"/>
          <w:bCs/>
          <w:sz w:val="20"/>
          <w:szCs w:val="22"/>
        </w:rPr>
        <w:t>Urządzenia sieciowe - korzystający z instalacji w % ogółu ludności w Nowej Soli i miastach o porównywalnej wielkości.</w:t>
      </w:r>
      <w:bookmarkEnd w:id="39"/>
    </w:p>
    <w:p w:rsidR="00467127" w:rsidRPr="00662F03" w:rsidRDefault="005B1628" w:rsidP="004E5A9A">
      <w:pPr>
        <w:ind w:firstLine="360"/>
        <w:jc w:val="both"/>
        <w:rPr>
          <w:rFonts w:ascii="Calibri" w:hAnsi="Calibri"/>
          <w:noProof/>
        </w:rPr>
      </w:pPr>
      <w:r>
        <w:rPr>
          <w:rFonts w:ascii="Calibri" w:hAnsi="Calibri"/>
          <w:noProof/>
        </w:rPr>
        <w:drawing>
          <wp:inline distT="0" distB="0" distL="0" distR="0">
            <wp:extent cx="5171950" cy="3311009"/>
            <wp:effectExtent l="19050" t="0" r="9650" b="3691"/>
            <wp:docPr id="31"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E25FF" w:rsidRPr="00662F03" w:rsidRDefault="00FE25FF" w:rsidP="004E5A9A">
      <w:pPr>
        <w:jc w:val="both"/>
        <w:rPr>
          <w:rFonts w:ascii="Calibri" w:hAnsi="Calibri"/>
          <w:noProof/>
          <w:sz w:val="20"/>
          <w:szCs w:val="22"/>
        </w:rPr>
      </w:pPr>
      <w:r w:rsidRPr="00662F03">
        <w:rPr>
          <w:rFonts w:ascii="Calibri" w:hAnsi="Calibri"/>
          <w:noProof/>
          <w:sz w:val="20"/>
          <w:szCs w:val="22"/>
        </w:rPr>
        <w:t>Źródło: opracowanie własne na podstawie danych Banku Danych Lokalnych GUS.</w:t>
      </w:r>
    </w:p>
    <w:p w:rsidR="00FE25FF" w:rsidRPr="00662F03" w:rsidRDefault="00FE25FF"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Udział mieszkańców korzystających z instalacji wodociągowej i gazowej był w Nowej Soli wyższy niż średnia dla </w:t>
      </w:r>
      <w:r w:rsidR="00BE7758" w:rsidRPr="00662F03">
        <w:rPr>
          <w:rFonts w:ascii="Calibri" w:hAnsi="Calibri" w:cs="Tahoma"/>
          <w:sz w:val="22"/>
          <w:szCs w:val="22"/>
        </w:rPr>
        <w:t xml:space="preserve">analizowanych </w:t>
      </w:r>
      <w:r w:rsidRPr="00662F03">
        <w:rPr>
          <w:rFonts w:ascii="Calibri" w:hAnsi="Calibri" w:cs="Tahoma"/>
          <w:sz w:val="22"/>
          <w:szCs w:val="22"/>
        </w:rPr>
        <w:t xml:space="preserve">miast o porównywalnej wielkości. </w:t>
      </w:r>
      <w:r w:rsidR="00927477" w:rsidRPr="00662F03">
        <w:rPr>
          <w:rFonts w:ascii="Calibri" w:hAnsi="Calibri" w:cs="Tahoma"/>
          <w:sz w:val="22"/>
          <w:szCs w:val="22"/>
        </w:rPr>
        <w:t xml:space="preserve">W 2009 r. 43% miast miało wyższy wskaźnik korzystających z instalacji wodociągowej niż Nowa Sól. W przypadku instalacji gazowej </w:t>
      </w:r>
      <w:r w:rsidR="00E763B0" w:rsidRPr="00662F03">
        <w:rPr>
          <w:rFonts w:ascii="Calibri" w:hAnsi="Calibri" w:cs="Tahoma"/>
          <w:sz w:val="22"/>
          <w:szCs w:val="22"/>
        </w:rPr>
        <w:t>⅓</w:t>
      </w:r>
      <w:r w:rsidR="00927477" w:rsidRPr="00662F03">
        <w:rPr>
          <w:rFonts w:ascii="Calibri" w:hAnsi="Calibri" w:cs="Tahoma"/>
          <w:sz w:val="22"/>
          <w:szCs w:val="22"/>
        </w:rPr>
        <w:t xml:space="preserve"> miast posiadał</w:t>
      </w:r>
      <w:r w:rsidR="00E763B0" w:rsidRPr="00662F03">
        <w:rPr>
          <w:rFonts w:ascii="Calibri" w:hAnsi="Calibri" w:cs="Tahoma"/>
          <w:sz w:val="22"/>
          <w:szCs w:val="22"/>
        </w:rPr>
        <w:t>a</w:t>
      </w:r>
      <w:r w:rsidR="00927477" w:rsidRPr="00662F03">
        <w:rPr>
          <w:rFonts w:ascii="Calibri" w:hAnsi="Calibri" w:cs="Tahoma"/>
          <w:sz w:val="22"/>
          <w:szCs w:val="22"/>
        </w:rPr>
        <w:t xml:space="preserve"> wyższe wskaźniki niż Nowa Sól. </w:t>
      </w:r>
      <w:r w:rsidRPr="00662F03">
        <w:rPr>
          <w:rFonts w:ascii="Calibri" w:hAnsi="Calibri" w:cs="Tahoma"/>
          <w:sz w:val="22"/>
          <w:szCs w:val="22"/>
        </w:rPr>
        <w:t xml:space="preserve">Z sieci kanalizacyjnej </w:t>
      </w:r>
      <w:r w:rsidR="00927477" w:rsidRPr="00662F03">
        <w:rPr>
          <w:rFonts w:ascii="Calibri" w:hAnsi="Calibri" w:cs="Tahoma"/>
          <w:sz w:val="22"/>
          <w:szCs w:val="22"/>
        </w:rPr>
        <w:t xml:space="preserve">w Nowej Soli </w:t>
      </w:r>
      <w:r w:rsidRPr="00662F03">
        <w:rPr>
          <w:rFonts w:ascii="Calibri" w:hAnsi="Calibri" w:cs="Tahoma"/>
          <w:sz w:val="22"/>
          <w:szCs w:val="22"/>
        </w:rPr>
        <w:t>korzystał podobny odsetek ludności</w:t>
      </w:r>
      <w:r w:rsidR="00927477" w:rsidRPr="00662F03">
        <w:rPr>
          <w:rFonts w:ascii="Calibri" w:hAnsi="Calibri" w:cs="Tahoma"/>
          <w:sz w:val="22"/>
          <w:szCs w:val="22"/>
        </w:rPr>
        <w:t>, jak w przypadku średniej dla miast o porównywalnej wielkości</w:t>
      </w:r>
      <w:r w:rsidRPr="00662F03">
        <w:rPr>
          <w:rFonts w:ascii="Calibri" w:hAnsi="Calibri" w:cs="Tahoma"/>
          <w:sz w:val="22"/>
          <w:szCs w:val="22"/>
        </w:rPr>
        <w:t>.</w:t>
      </w:r>
      <w:r w:rsidR="00927477" w:rsidRPr="00662F03">
        <w:rPr>
          <w:rFonts w:ascii="Calibri" w:hAnsi="Calibri" w:cs="Tahoma"/>
          <w:sz w:val="22"/>
          <w:szCs w:val="22"/>
        </w:rPr>
        <w:t xml:space="preserve"> 55% z tych miast miało wyższy wskaźnik korzystających z instalacji </w:t>
      </w:r>
      <w:r w:rsidR="0032313B" w:rsidRPr="00662F03">
        <w:rPr>
          <w:rFonts w:ascii="Calibri" w:hAnsi="Calibri" w:cs="Tahoma"/>
          <w:sz w:val="22"/>
          <w:szCs w:val="22"/>
        </w:rPr>
        <w:t xml:space="preserve">kanalizacyjnej </w:t>
      </w:r>
      <w:r w:rsidR="00927477" w:rsidRPr="00662F03">
        <w:rPr>
          <w:rFonts w:ascii="Calibri" w:hAnsi="Calibri" w:cs="Tahoma"/>
          <w:sz w:val="22"/>
          <w:szCs w:val="22"/>
        </w:rPr>
        <w:t>niż Nowa Sól.</w:t>
      </w:r>
    </w:p>
    <w:p w:rsidR="00187761" w:rsidRPr="00662F03" w:rsidRDefault="00187761"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W latach 2009-2011 z inicjatyw</w:t>
      </w:r>
      <w:r w:rsidR="0032313B" w:rsidRPr="00662F03">
        <w:rPr>
          <w:rFonts w:ascii="Calibri" w:hAnsi="Calibri" w:cs="Tahoma"/>
          <w:sz w:val="22"/>
          <w:szCs w:val="22"/>
        </w:rPr>
        <w:t>y trzech gmin: Gminy Nowa Sól-</w:t>
      </w:r>
      <w:r w:rsidRPr="00662F03">
        <w:rPr>
          <w:rFonts w:ascii="Calibri" w:hAnsi="Calibri" w:cs="Tahoma"/>
          <w:sz w:val="22"/>
          <w:szCs w:val="22"/>
        </w:rPr>
        <w:t xml:space="preserve">Miasto, Gminy Nowa Sól i Gminy Otyń realizowany jest projekt pn.: „Gospodarka wodno-ściekowa miasta Nowa Sól i gmin ościennych”, dzięki któremu usprawniony zostanie system gospodarki wodno-ściekowej. W ramach </w:t>
      </w:r>
      <w:r w:rsidR="005F73EE">
        <w:rPr>
          <w:rFonts w:ascii="Calibri" w:hAnsi="Calibri" w:cs="Tahoma"/>
          <w:sz w:val="22"/>
          <w:szCs w:val="22"/>
        </w:rPr>
        <w:t>p</w:t>
      </w:r>
      <w:r w:rsidRPr="00662F03">
        <w:rPr>
          <w:rFonts w:ascii="Calibri" w:hAnsi="Calibri" w:cs="Tahoma"/>
          <w:sz w:val="22"/>
          <w:szCs w:val="22"/>
        </w:rPr>
        <w:t xml:space="preserve">rojektu </w:t>
      </w:r>
      <w:r w:rsidR="003E0BB9" w:rsidRPr="00662F03">
        <w:rPr>
          <w:rFonts w:ascii="Calibri" w:hAnsi="Calibri" w:cs="Tahoma"/>
          <w:sz w:val="22"/>
          <w:szCs w:val="22"/>
        </w:rPr>
        <w:t>w mieście Nowa Sól zostaną wykonane następujące prace</w:t>
      </w:r>
      <w:r w:rsidRPr="00662F03">
        <w:rPr>
          <w:rFonts w:ascii="Calibri" w:hAnsi="Calibri" w:cs="Tahoma"/>
          <w:sz w:val="22"/>
          <w:szCs w:val="22"/>
        </w:rPr>
        <w:t>:</w:t>
      </w:r>
    </w:p>
    <w:p w:rsidR="003E0BB9" w:rsidRPr="00662F03" w:rsidRDefault="00EA6052" w:rsidP="001F3F1C">
      <w:pPr>
        <w:pStyle w:val="Akapitzlist"/>
        <w:numPr>
          <w:ilvl w:val="0"/>
          <w:numId w:val="9"/>
        </w:numPr>
        <w:shd w:val="clear" w:color="auto" w:fill="FFFFFF"/>
        <w:spacing w:after="0" w:line="240" w:lineRule="auto"/>
        <w:jc w:val="both"/>
        <w:outlineLvl w:val="3"/>
        <w:rPr>
          <w:rFonts w:cs="Tahoma"/>
        </w:rPr>
      </w:pPr>
      <w:r w:rsidRPr="00662F03">
        <w:rPr>
          <w:rFonts w:cs="Tahoma"/>
        </w:rPr>
        <w:t>b</w:t>
      </w:r>
      <w:r w:rsidR="003E0BB9" w:rsidRPr="00662F03">
        <w:rPr>
          <w:rFonts w:cs="Tahoma"/>
        </w:rPr>
        <w:t xml:space="preserve">udowa kanalizacji sanitarnej w dwóch nieskanalizowanych dzielnicach </w:t>
      </w:r>
      <w:r w:rsidR="005F73EE">
        <w:rPr>
          <w:rFonts w:cs="Tahoma"/>
        </w:rPr>
        <w:t>miasta:</w:t>
      </w:r>
      <w:r w:rsidR="003E0BB9" w:rsidRPr="00662F03">
        <w:rPr>
          <w:rFonts w:cs="Tahoma"/>
        </w:rPr>
        <w:t xml:space="preserve"> Pleszówek i Stare Żabno,</w:t>
      </w:r>
    </w:p>
    <w:p w:rsidR="00187761" w:rsidRPr="00662F03" w:rsidRDefault="003E0BB9" w:rsidP="00F71F0A">
      <w:pPr>
        <w:pStyle w:val="Akapitzlist"/>
        <w:numPr>
          <w:ilvl w:val="0"/>
          <w:numId w:val="9"/>
        </w:numPr>
        <w:shd w:val="clear" w:color="auto" w:fill="FFFFFF"/>
        <w:spacing w:before="150" w:after="75" w:line="240" w:lineRule="auto"/>
        <w:jc w:val="both"/>
        <w:outlineLvl w:val="3"/>
        <w:rPr>
          <w:rFonts w:cs="Tahoma"/>
        </w:rPr>
      </w:pPr>
      <w:r w:rsidRPr="00662F03">
        <w:rPr>
          <w:rFonts w:cs="Tahoma"/>
        </w:rPr>
        <w:t>uporządkowanie</w:t>
      </w:r>
      <w:r w:rsidR="00187761" w:rsidRPr="00662F03">
        <w:rPr>
          <w:rFonts w:cs="Tahoma"/>
        </w:rPr>
        <w:t xml:space="preserve"> system</w:t>
      </w:r>
      <w:r w:rsidRPr="00662F03">
        <w:rPr>
          <w:rFonts w:cs="Tahoma"/>
        </w:rPr>
        <w:t>u</w:t>
      </w:r>
      <w:r w:rsidR="00187761" w:rsidRPr="00662F03">
        <w:rPr>
          <w:rFonts w:cs="Tahoma"/>
        </w:rPr>
        <w:t xml:space="preserve"> kanalizacji ogólnospławnej w śródmieściu</w:t>
      </w:r>
      <w:r w:rsidRPr="00662F03">
        <w:rPr>
          <w:rFonts w:cs="Tahoma"/>
        </w:rPr>
        <w:t>,</w:t>
      </w:r>
    </w:p>
    <w:p w:rsidR="003E0BB9" w:rsidRPr="00662F03" w:rsidRDefault="003E0BB9" w:rsidP="00F71F0A">
      <w:pPr>
        <w:pStyle w:val="Akapitzlist"/>
        <w:numPr>
          <w:ilvl w:val="0"/>
          <w:numId w:val="9"/>
        </w:numPr>
        <w:shd w:val="clear" w:color="auto" w:fill="FFFFFF"/>
        <w:spacing w:before="150" w:after="75" w:line="240" w:lineRule="auto"/>
        <w:jc w:val="both"/>
        <w:outlineLvl w:val="3"/>
        <w:rPr>
          <w:rFonts w:cs="Tahoma"/>
        </w:rPr>
      </w:pPr>
      <w:r w:rsidRPr="00662F03">
        <w:rPr>
          <w:rFonts w:cs="Tahoma"/>
        </w:rPr>
        <w:t>modernizacja istniejących (zdekapitalizowanych) sieci wodociągowych.</w:t>
      </w:r>
    </w:p>
    <w:p w:rsidR="00781BD6" w:rsidRPr="00662F03" w:rsidRDefault="00781BD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Dzięki realizacji inwestycji, zwiększony zostanie dostęp do kanalizacji sanitarnej w strefie objętej </w:t>
      </w:r>
      <w:r w:rsidR="005F73EE">
        <w:rPr>
          <w:rFonts w:ascii="Calibri" w:hAnsi="Calibri" w:cs="Tahoma"/>
          <w:sz w:val="22"/>
          <w:szCs w:val="22"/>
        </w:rPr>
        <w:t>p</w:t>
      </w:r>
      <w:r w:rsidRPr="00662F03">
        <w:rPr>
          <w:rFonts w:ascii="Calibri" w:hAnsi="Calibri" w:cs="Tahoma"/>
          <w:sz w:val="22"/>
          <w:szCs w:val="22"/>
        </w:rPr>
        <w:t>rojektem. Mieszkańcy dwóch dzielnic Miasta Nowa Sól: Pleszówek i Stare Żabno uzyskają dostęp do kanalizacji. W śródmieściu Nowej Soli rozwiązane zostaną także trudności w funkcjonowaniu kanalizacji ogólnospławnej. Zmodernizowana zostanie Stacja Uzdatniania Wody w Nowej Soli, wymienione zostaną uszkodzone i przestarzałe sieci wodociągowe na obszarze miasta. Projekt obejmuje również przebudowę i zmodernizowanie Centralnej Oczyszczalni Ścieków w Nowej Soli wraz z docelowym rozwiązaniem gospodarki osadowej (zmniejszenie produkcji osadów ściekowych, odpowiednia ich stabilizacja).</w:t>
      </w:r>
    </w:p>
    <w:p w:rsidR="00DC268A" w:rsidRPr="00662F03" w:rsidRDefault="00F068A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2009 roku w gospodarstwach domowych miasta Nowa Sól </w:t>
      </w:r>
      <w:r w:rsidR="00E763B0" w:rsidRPr="00662F03">
        <w:rPr>
          <w:rFonts w:ascii="Calibri" w:hAnsi="Calibri" w:cs="Tahoma"/>
          <w:sz w:val="22"/>
          <w:szCs w:val="22"/>
        </w:rPr>
        <w:t>prawie 16</w:t>
      </w:r>
      <w:r w:rsidRPr="00662F03">
        <w:rPr>
          <w:rFonts w:ascii="Calibri" w:hAnsi="Calibri" w:cs="Tahoma"/>
          <w:sz w:val="22"/>
          <w:szCs w:val="22"/>
        </w:rPr>
        <w:t xml:space="preserve"> tys. odbiorców korzystało z energii elektrycznej. Zużyli oni łącznie</w:t>
      </w:r>
      <w:r w:rsidR="00E763B0" w:rsidRPr="00662F03">
        <w:rPr>
          <w:rFonts w:ascii="Calibri" w:hAnsi="Calibri" w:cs="Tahoma"/>
          <w:sz w:val="22"/>
          <w:szCs w:val="22"/>
        </w:rPr>
        <w:t xml:space="preserve"> ponad 27</w:t>
      </w:r>
      <w:r w:rsidR="00EA7758" w:rsidRPr="00662F03">
        <w:rPr>
          <w:rFonts w:ascii="Calibri" w:hAnsi="Calibri" w:cs="Tahoma"/>
          <w:sz w:val="22"/>
          <w:szCs w:val="22"/>
        </w:rPr>
        <w:t xml:space="preserve"> GWh energii, tj. o </w:t>
      </w:r>
      <w:r w:rsidR="00F70BFE" w:rsidRPr="00662F03">
        <w:rPr>
          <w:rFonts w:ascii="Calibri" w:hAnsi="Calibri" w:cs="Tahoma"/>
          <w:sz w:val="22"/>
          <w:szCs w:val="22"/>
        </w:rPr>
        <w:t>prawie 7</w:t>
      </w:r>
      <w:r w:rsidR="00EA7758" w:rsidRPr="00662F03">
        <w:rPr>
          <w:rFonts w:ascii="Calibri" w:hAnsi="Calibri" w:cs="Tahoma"/>
          <w:sz w:val="22"/>
          <w:szCs w:val="22"/>
        </w:rPr>
        <w:t xml:space="preserve">% więcej niż w 2003 roku. W ciągu roku każdy odbiorca zużył przeciętnie </w:t>
      </w:r>
      <w:r w:rsidR="00F70BFE" w:rsidRPr="00662F03">
        <w:rPr>
          <w:rFonts w:ascii="Calibri" w:hAnsi="Calibri" w:cs="Tahoma"/>
          <w:sz w:val="22"/>
          <w:szCs w:val="22"/>
        </w:rPr>
        <w:t>1715</w:t>
      </w:r>
      <w:r w:rsidR="00EA7758" w:rsidRPr="00662F03">
        <w:rPr>
          <w:rFonts w:ascii="Calibri" w:hAnsi="Calibri" w:cs="Tahoma"/>
          <w:sz w:val="22"/>
          <w:szCs w:val="22"/>
        </w:rPr>
        <w:t xml:space="preserve"> kWh, czyli o </w:t>
      </w:r>
      <w:r w:rsidR="00B65C20" w:rsidRPr="00662F03">
        <w:rPr>
          <w:rFonts w:ascii="Calibri" w:hAnsi="Calibri" w:cs="Tahoma"/>
          <w:sz w:val="22"/>
          <w:szCs w:val="22"/>
        </w:rPr>
        <w:t>7,5</w:t>
      </w:r>
      <w:r w:rsidR="00EA7758" w:rsidRPr="00662F03">
        <w:rPr>
          <w:rFonts w:ascii="Calibri" w:hAnsi="Calibri" w:cs="Tahoma"/>
          <w:sz w:val="22"/>
          <w:szCs w:val="22"/>
        </w:rPr>
        <w:t xml:space="preserve">% więcej niż w 2003 roku. Przeciętne zużycie na 1 odbiorcę w Nowej Soli było o </w:t>
      </w:r>
      <w:r w:rsidR="00F70BFE" w:rsidRPr="00662F03">
        <w:rPr>
          <w:rFonts w:ascii="Calibri" w:hAnsi="Calibri" w:cs="Tahoma"/>
          <w:sz w:val="22"/>
          <w:szCs w:val="22"/>
        </w:rPr>
        <w:t>ponad 16</w:t>
      </w:r>
      <w:r w:rsidR="00EA7758" w:rsidRPr="00662F03">
        <w:rPr>
          <w:rFonts w:ascii="Calibri" w:hAnsi="Calibri" w:cs="Tahoma"/>
          <w:sz w:val="22"/>
          <w:szCs w:val="22"/>
        </w:rPr>
        <w:t>% niższe niż na 1 odbiorcę w województwie.</w:t>
      </w:r>
      <w:r w:rsidR="00265364" w:rsidRPr="00662F03">
        <w:rPr>
          <w:rFonts w:ascii="Calibri" w:hAnsi="Calibri" w:cs="Tahoma"/>
          <w:sz w:val="22"/>
          <w:szCs w:val="22"/>
        </w:rPr>
        <w:t xml:space="preserve"> W przeliczeniu na 1 osobę statystyczny mie</w:t>
      </w:r>
      <w:r w:rsidR="00F70BFE" w:rsidRPr="00662F03">
        <w:rPr>
          <w:rFonts w:ascii="Calibri" w:hAnsi="Calibri" w:cs="Tahoma"/>
          <w:sz w:val="22"/>
          <w:szCs w:val="22"/>
        </w:rPr>
        <w:t>szkaniec w 2009 roku zużył około 678</w:t>
      </w:r>
      <w:r w:rsidR="00265364" w:rsidRPr="00662F03">
        <w:rPr>
          <w:rFonts w:ascii="Calibri" w:hAnsi="Calibri" w:cs="Tahoma"/>
          <w:sz w:val="22"/>
          <w:szCs w:val="22"/>
        </w:rPr>
        <w:t xml:space="preserve"> kWh, czyli o 6,4% mniej niż przeciętny Lubuszanin.</w:t>
      </w:r>
      <w:r w:rsidR="00B60981" w:rsidRPr="00662F03">
        <w:rPr>
          <w:rFonts w:ascii="Calibri" w:hAnsi="Calibri" w:cs="Tahoma"/>
          <w:sz w:val="22"/>
          <w:szCs w:val="22"/>
        </w:rPr>
        <w:t xml:space="preserve"> Potrzeby zaopatrzenia Nowej Soli w energię </w:t>
      </w:r>
      <w:r w:rsidR="00B60981" w:rsidRPr="00662F03">
        <w:rPr>
          <w:rFonts w:ascii="Calibri" w:hAnsi="Calibri" w:cs="Tahoma"/>
          <w:sz w:val="22"/>
          <w:szCs w:val="22"/>
        </w:rPr>
        <w:lastRenderedPageBreak/>
        <w:t xml:space="preserve">elektryczną są zaspokajane przez Grupę Energetyczną ENEA S.A. Sieć elektroenergetyczna miasta obejmuje dwa </w:t>
      </w:r>
      <w:r w:rsidR="009E5498" w:rsidRPr="00662F03">
        <w:rPr>
          <w:rFonts w:ascii="Calibri" w:hAnsi="Calibri" w:cs="Tahoma"/>
          <w:sz w:val="22"/>
          <w:szCs w:val="22"/>
        </w:rPr>
        <w:t>G</w:t>
      </w:r>
      <w:r w:rsidR="00B60981" w:rsidRPr="00662F03">
        <w:rPr>
          <w:rFonts w:ascii="Calibri" w:hAnsi="Calibri" w:cs="Tahoma"/>
          <w:sz w:val="22"/>
          <w:szCs w:val="22"/>
        </w:rPr>
        <w:t xml:space="preserve">łówne </w:t>
      </w:r>
      <w:r w:rsidR="009E5498" w:rsidRPr="00662F03">
        <w:rPr>
          <w:rFonts w:ascii="Calibri" w:hAnsi="Calibri" w:cs="Tahoma"/>
          <w:sz w:val="22"/>
          <w:szCs w:val="22"/>
        </w:rPr>
        <w:t>P</w:t>
      </w:r>
      <w:r w:rsidR="00B60981" w:rsidRPr="00662F03">
        <w:rPr>
          <w:rFonts w:ascii="Calibri" w:hAnsi="Calibri" w:cs="Tahoma"/>
          <w:sz w:val="22"/>
          <w:szCs w:val="22"/>
        </w:rPr>
        <w:t xml:space="preserve">unkty </w:t>
      </w:r>
      <w:r w:rsidR="009E5498" w:rsidRPr="00662F03">
        <w:rPr>
          <w:rFonts w:ascii="Calibri" w:hAnsi="Calibri" w:cs="Tahoma"/>
          <w:sz w:val="22"/>
          <w:szCs w:val="22"/>
        </w:rPr>
        <w:t>Z</w:t>
      </w:r>
      <w:r w:rsidR="00B60981" w:rsidRPr="00662F03">
        <w:rPr>
          <w:rFonts w:ascii="Calibri" w:hAnsi="Calibri" w:cs="Tahoma"/>
          <w:sz w:val="22"/>
          <w:szCs w:val="22"/>
        </w:rPr>
        <w:t>asilania: GPZ „Południe” i GPZ „Graniczna”. Rozdziały energii elektrycznej na terenie miasta realizowane są za pośrednictwem linii kablowych średniego napięcia, zasilają one 100 stacji transformatorowych. Dostawa energii do odbiorców komunalnych prowadzona jest liniami napowietrznymi i kablowymi. Na terenie Nowej Soli nie występują poważniejsze problemy związane z brakami energii elektrycznej, jednak część sieci rozdzielczej, zwłaszcza w starszej, centralnej części miasta oraz na terenach dzielnicy Zatorze jest zdekapitalizowana i wymaga przeprowadzenia remontów</w:t>
      </w:r>
      <w:r w:rsidR="00C35E67" w:rsidRPr="00662F03">
        <w:rPr>
          <w:rFonts w:ascii="Calibri" w:hAnsi="Calibri" w:cs="Tahoma"/>
          <w:sz w:val="22"/>
          <w:szCs w:val="22"/>
        </w:rPr>
        <w:t>. Problemem w skali całego miasta jest niewystarczająca ilość sieci oświetlenia ulicznego. Za gospodarkę energetyczną na terenie miasta Nowa Sól odpowiada koncern energetyczny Enea SA, O</w:t>
      </w:r>
      <w:r w:rsidR="00BE7758" w:rsidRPr="00662F03">
        <w:rPr>
          <w:rFonts w:ascii="Calibri" w:hAnsi="Calibri" w:cs="Tahoma"/>
          <w:sz w:val="22"/>
          <w:szCs w:val="22"/>
        </w:rPr>
        <w:t>ddział Dystrybucji Zielona Góra</w:t>
      </w:r>
      <w:r w:rsidR="00822F0A" w:rsidRPr="00662F03">
        <w:rPr>
          <w:rFonts w:ascii="Calibri" w:hAnsi="Calibri" w:cs="Tahoma"/>
          <w:sz w:val="20"/>
          <w:szCs w:val="22"/>
          <w:vertAlign w:val="superscript"/>
        </w:rPr>
        <w:footnoteReference w:id="7"/>
      </w:r>
      <w:r w:rsidR="00B60981" w:rsidRPr="00662F03">
        <w:rPr>
          <w:rFonts w:ascii="Calibri" w:hAnsi="Calibri" w:cs="Tahoma"/>
          <w:sz w:val="22"/>
          <w:szCs w:val="22"/>
        </w:rPr>
        <w:t>.</w:t>
      </w:r>
    </w:p>
    <w:p w:rsidR="00121B9B" w:rsidRPr="00662F03" w:rsidRDefault="00C35E67"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 xml:space="preserve">Dystrybucją paliwa gazowego w Nowej Soli zajmuje się Dolnośląska Spółka Gazownictwa Sp. z o. o. oddział gazowniczy w Zgorzelcu. Nośnikiem energii jest gaz ziemny zaazotowany. </w:t>
      </w:r>
      <w:r w:rsidR="00121B9B" w:rsidRPr="00662F03">
        <w:rPr>
          <w:rFonts w:ascii="Calibri" w:hAnsi="Calibri" w:cs="Tahoma"/>
          <w:sz w:val="22"/>
          <w:szCs w:val="22"/>
        </w:rPr>
        <w:t>Na terenie miasta Nowa Sól funkcjonuje sieć gazowa wysokiego ciśnienia, w której skład wchodzą</w:t>
      </w:r>
      <w:r w:rsidR="00822F0A" w:rsidRPr="00662F03">
        <w:rPr>
          <w:rFonts w:ascii="Calibri" w:hAnsi="Calibri" w:cs="Tahoma"/>
          <w:sz w:val="20"/>
          <w:szCs w:val="22"/>
          <w:vertAlign w:val="superscript"/>
        </w:rPr>
        <w:footnoteReference w:id="8"/>
      </w:r>
      <w:r w:rsidR="00121B9B" w:rsidRPr="00662F03">
        <w:rPr>
          <w:rFonts w:ascii="Calibri" w:hAnsi="Calibri" w:cs="Tahoma"/>
          <w:sz w:val="22"/>
          <w:szCs w:val="22"/>
        </w:rPr>
        <w:t>:</w:t>
      </w:r>
    </w:p>
    <w:p w:rsidR="00121B9B" w:rsidRPr="00662F03" w:rsidRDefault="00121B9B" w:rsidP="001F3F1C">
      <w:pPr>
        <w:pStyle w:val="Akapitzlist"/>
        <w:numPr>
          <w:ilvl w:val="0"/>
          <w:numId w:val="10"/>
        </w:numPr>
        <w:shd w:val="clear" w:color="auto" w:fill="FFFFFF"/>
        <w:spacing w:after="0" w:line="240" w:lineRule="auto"/>
        <w:jc w:val="both"/>
        <w:outlineLvl w:val="3"/>
        <w:rPr>
          <w:rFonts w:cs="Tahoma"/>
        </w:rPr>
      </w:pPr>
      <w:r w:rsidRPr="00662F03">
        <w:rPr>
          <w:rFonts w:cs="Tahoma"/>
        </w:rPr>
        <w:t>gazociąg przesyłowy wysokiego ciśnienia relacji węzeł</w:t>
      </w:r>
      <w:r w:rsidR="008C3484" w:rsidRPr="00662F03">
        <w:rPr>
          <w:rFonts w:cs="Tahoma"/>
        </w:rPr>
        <w:t xml:space="preserve"> Zakęcie – odg. Bytom Odrzański</w:t>
      </w:r>
      <w:r w:rsidRPr="00662F03">
        <w:rPr>
          <w:rFonts w:cs="Tahoma"/>
        </w:rPr>
        <w:t>,</w:t>
      </w:r>
    </w:p>
    <w:p w:rsidR="00121B9B" w:rsidRPr="00662F03" w:rsidRDefault="00121B9B" w:rsidP="00F71F0A">
      <w:pPr>
        <w:pStyle w:val="Akapitzlist"/>
        <w:numPr>
          <w:ilvl w:val="0"/>
          <w:numId w:val="10"/>
        </w:numPr>
        <w:shd w:val="clear" w:color="auto" w:fill="FFFFFF"/>
        <w:spacing w:after="75" w:line="240" w:lineRule="auto"/>
        <w:jc w:val="both"/>
        <w:outlineLvl w:val="3"/>
        <w:rPr>
          <w:rFonts w:cs="Tahoma"/>
        </w:rPr>
      </w:pPr>
      <w:r w:rsidRPr="00662F03">
        <w:rPr>
          <w:rFonts w:cs="Tahoma"/>
        </w:rPr>
        <w:t>zespół zaporowo upustowy ZZU Zakęcie.</w:t>
      </w:r>
    </w:p>
    <w:p w:rsidR="00856BD1" w:rsidRPr="00662F03" w:rsidRDefault="001208CA" w:rsidP="004E5A9A">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W końcu 2009 roku sieć gazowa prowadzona do gospoda</w:t>
      </w:r>
      <w:r w:rsidR="008C3484" w:rsidRPr="00662F03">
        <w:rPr>
          <w:rFonts w:ascii="Calibri" w:hAnsi="Calibri" w:cs="Tahoma"/>
          <w:sz w:val="22"/>
          <w:szCs w:val="22"/>
        </w:rPr>
        <w:t>rstw domowych miała długość 68</w:t>
      </w:r>
      <w:r w:rsidRPr="00662F03">
        <w:rPr>
          <w:rFonts w:ascii="Calibri" w:hAnsi="Calibri" w:cs="Tahoma"/>
          <w:sz w:val="22"/>
          <w:szCs w:val="22"/>
        </w:rPr>
        <w:t xml:space="preserve"> km, tj. o </w:t>
      </w:r>
      <w:r w:rsidR="008C3484" w:rsidRPr="00662F03">
        <w:rPr>
          <w:rFonts w:ascii="Calibri" w:hAnsi="Calibri" w:cs="Tahoma"/>
          <w:sz w:val="22"/>
          <w:szCs w:val="22"/>
        </w:rPr>
        <w:t xml:space="preserve">prawie ⅕ </w:t>
      </w:r>
      <w:r w:rsidRPr="00662F03">
        <w:rPr>
          <w:rFonts w:ascii="Calibri" w:hAnsi="Calibri" w:cs="Tahoma"/>
          <w:sz w:val="22"/>
          <w:szCs w:val="22"/>
        </w:rPr>
        <w:t>więcej niż w 2003 roku. Liczba połączeń prowadzących do budynków wzrosła w</w:t>
      </w:r>
      <w:r w:rsidR="008C3484" w:rsidRPr="00662F03">
        <w:rPr>
          <w:rFonts w:ascii="Calibri" w:hAnsi="Calibri" w:cs="Tahoma"/>
          <w:sz w:val="22"/>
          <w:szCs w:val="22"/>
        </w:rPr>
        <w:t xml:space="preserve"> tym czasie do 1548, czyli prawie o ⅓</w:t>
      </w:r>
      <w:r w:rsidRPr="00662F03">
        <w:rPr>
          <w:rFonts w:ascii="Calibri" w:hAnsi="Calibri" w:cs="Tahoma"/>
          <w:sz w:val="22"/>
          <w:szCs w:val="22"/>
        </w:rPr>
        <w:t>. W Nowej Soli z sieci gazowej</w:t>
      </w:r>
      <w:r w:rsidR="008C3484" w:rsidRPr="00662F03">
        <w:rPr>
          <w:rFonts w:ascii="Calibri" w:hAnsi="Calibri" w:cs="Tahoma"/>
          <w:sz w:val="22"/>
          <w:szCs w:val="22"/>
        </w:rPr>
        <w:t xml:space="preserve"> korzystało 13465 odbiorców,</w:t>
      </w:r>
      <w:r w:rsidRPr="00662F03">
        <w:rPr>
          <w:rFonts w:ascii="Calibri" w:hAnsi="Calibri" w:cs="Tahoma"/>
          <w:sz w:val="22"/>
          <w:szCs w:val="22"/>
        </w:rPr>
        <w:t xml:space="preserve"> </w:t>
      </w:r>
      <w:r w:rsidR="008C3484" w:rsidRPr="00662F03">
        <w:rPr>
          <w:rFonts w:ascii="Calibri" w:hAnsi="Calibri" w:cs="Tahoma"/>
          <w:sz w:val="22"/>
          <w:szCs w:val="22"/>
        </w:rPr>
        <w:t>czyli 2%</w:t>
      </w:r>
      <w:r w:rsidRPr="00662F03">
        <w:rPr>
          <w:rFonts w:ascii="Calibri" w:hAnsi="Calibri" w:cs="Tahoma"/>
          <w:sz w:val="22"/>
          <w:szCs w:val="22"/>
        </w:rPr>
        <w:t xml:space="preserve"> więcej niż w 2003 roku.</w:t>
      </w:r>
      <w:r w:rsidR="00E2001A" w:rsidRPr="00662F03">
        <w:rPr>
          <w:rFonts w:ascii="Calibri" w:hAnsi="Calibri" w:cs="Tahoma"/>
          <w:sz w:val="22"/>
          <w:szCs w:val="22"/>
        </w:rPr>
        <w:t xml:space="preserve"> Średnio każde gospodarstwo domowe zużyło </w:t>
      </w:r>
      <w:r w:rsidR="008C3484" w:rsidRPr="00662F03">
        <w:rPr>
          <w:rFonts w:ascii="Calibri" w:hAnsi="Calibri" w:cs="Tahoma"/>
          <w:sz w:val="22"/>
          <w:szCs w:val="22"/>
        </w:rPr>
        <w:t>590</w:t>
      </w:r>
      <w:r w:rsidR="00D05DDB" w:rsidRPr="00662F03">
        <w:rPr>
          <w:rFonts w:ascii="Calibri" w:hAnsi="Calibri" w:cs="Tahoma"/>
          <w:sz w:val="22"/>
          <w:szCs w:val="22"/>
        </w:rPr>
        <w:t xml:space="preserve"> m</w:t>
      </w:r>
      <w:r w:rsidR="00D05DDB" w:rsidRPr="00662F03">
        <w:rPr>
          <w:rFonts w:ascii="Calibri" w:hAnsi="Calibri" w:cs="Tahoma"/>
          <w:sz w:val="22"/>
          <w:szCs w:val="22"/>
          <w:vertAlign w:val="superscript"/>
        </w:rPr>
        <w:t>3</w:t>
      </w:r>
      <w:r w:rsidR="00D05DDB" w:rsidRPr="00662F03">
        <w:rPr>
          <w:rFonts w:ascii="Calibri" w:hAnsi="Calibri" w:cs="Tahoma"/>
          <w:sz w:val="22"/>
          <w:szCs w:val="22"/>
        </w:rPr>
        <w:t xml:space="preserve"> gazu</w:t>
      </w:r>
      <w:r w:rsidR="00D52187" w:rsidRPr="00662F03">
        <w:rPr>
          <w:rFonts w:ascii="Calibri" w:hAnsi="Calibri" w:cs="Tahoma"/>
          <w:sz w:val="22"/>
          <w:szCs w:val="22"/>
        </w:rPr>
        <w:t>. Według danych z 2009 roku gęstość sieci gazowej na 100 km</w:t>
      </w:r>
      <w:r w:rsidR="00D52187" w:rsidRPr="00662F03">
        <w:rPr>
          <w:rFonts w:ascii="Calibri" w:hAnsi="Calibri" w:cs="Tahoma"/>
          <w:sz w:val="22"/>
          <w:szCs w:val="22"/>
          <w:vertAlign w:val="superscript"/>
        </w:rPr>
        <w:t>2</w:t>
      </w:r>
      <w:r w:rsidR="00D52187" w:rsidRPr="00662F03">
        <w:rPr>
          <w:rFonts w:ascii="Calibri" w:hAnsi="Calibri" w:cs="Tahoma"/>
          <w:sz w:val="22"/>
          <w:szCs w:val="22"/>
        </w:rPr>
        <w:t xml:space="preserve"> wyniosła w Nowej Soli 312,6 km i wzro</w:t>
      </w:r>
      <w:r w:rsidR="008C3484" w:rsidRPr="00662F03">
        <w:rPr>
          <w:rFonts w:ascii="Calibri" w:hAnsi="Calibri" w:cs="Tahoma"/>
          <w:sz w:val="22"/>
          <w:szCs w:val="22"/>
        </w:rPr>
        <w:t>sła w porównaniu do 2003 roku prawie o ⅕</w:t>
      </w:r>
      <w:r w:rsidR="00D52187" w:rsidRPr="00662F03">
        <w:rPr>
          <w:rFonts w:ascii="Calibri" w:hAnsi="Calibri" w:cs="Tahoma"/>
          <w:sz w:val="22"/>
          <w:szCs w:val="22"/>
        </w:rPr>
        <w:t>.</w:t>
      </w:r>
      <w:r w:rsidR="009E5498" w:rsidRPr="00662F03">
        <w:rPr>
          <w:rFonts w:ascii="Calibri" w:hAnsi="Calibri" w:cs="Tahoma"/>
          <w:sz w:val="22"/>
          <w:szCs w:val="22"/>
        </w:rPr>
        <w:t xml:space="preserve"> Wskaźnik ten w Nowej Soli jest zdecydowanie wyższy od średniej w powiecie i województwie. Decydujący wpływ ma na to fakt, że jest to gmina miejska, dodatkowo w znacznym już stopniu pokryt</w:t>
      </w:r>
      <w:r w:rsidR="0046541F" w:rsidRPr="00662F03">
        <w:rPr>
          <w:rFonts w:ascii="Calibri" w:hAnsi="Calibri" w:cs="Tahoma"/>
          <w:sz w:val="22"/>
          <w:szCs w:val="22"/>
        </w:rPr>
        <w:t>a</w:t>
      </w:r>
      <w:r w:rsidR="009E5498" w:rsidRPr="00662F03">
        <w:rPr>
          <w:rFonts w:ascii="Calibri" w:hAnsi="Calibri" w:cs="Tahoma"/>
          <w:sz w:val="22"/>
          <w:szCs w:val="22"/>
        </w:rPr>
        <w:t xml:space="preserve"> siecią gazową.</w:t>
      </w:r>
    </w:p>
    <w:p w:rsidR="001208CA" w:rsidRPr="00662F03" w:rsidRDefault="00D46A1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Zna</w:t>
      </w:r>
      <w:r w:rsidR="00AB074F" w:rsidRPr="00662F03">
        <w:rPr>
          <w:rFonts w:ascii="Calibri" w:hAnsi="Calibri" w:cs="Tahoma"/>
          <w:sz w:val="22"/>
          <w:szCs w:val="22"/>
        </w:rPr>
        <w:t>czna część zabudowy mieszkalno-</w:t>
      </w:r>
      <w:r w:rsidRPr="00662F03">
        <w:rPr>
          <w:rFonts w:ascii="Calibri" w:hAnsi="Calibri" w:cs="Tahoma"/>
          <w:sz w:val="22"/>
          <w:szCs w:val="22"/>
        </w:rPr>
        <w:t>usługowej miasta jest podłączon</w:t>
      </w:r>
      <w:r w:rsidR="00AB074F" w:rsidRPr="00662F03">
        <w:rPr>
          <w:rFonts w:ascii="Calibri" w:hAnsi="Calibri" w:cs="Tahoma"/>
          <w:sz w:val="22"/>
          <w:szCs w:val="22"/>
        </w:rPr>
        <w:t xml:space="preserve">a </w:t>
      </w:r>
      <w:r w:rsidRPr="00662F03">
        <w:rPr>
          <w:rFonts w:ascii="Calibri" w:hAnsi="Calibri" w:cs="Tahoma"/>
          <w:sz w:val="22"/>
          <w:szCs w:val="22"/>
        </w:rPr>
        <w:t>do centralnej sieci ciepłowniczej. Energia cieplna jest dostarczana głównie</w:t>
      </w:r>
      <w:r w:rsidR="00AB074F" w:rsidRPr="00662F03">
        <w:rPr>
          <w:rFonts w:ascii="Calibri" w:hAnsi="Calibri" w:cs="Tahoma"/>
          <w:sz w:val="22"/>
          <w:szCs w:val="22"/>
        </w:rPr>
        <w:t xml:space="preserve"> </w:t>
      </w:r>
      <w:r w:rsidRPr="00662F03">
        <w:rPr>
          <w:rFonts w:ascii="Calibri" w:hAnsi="Calibri" w:cs="Tahoma"/>
          <w:sz w:val="22"/>
          <w:szCs w:val="22"/>
        </w:rPr>
        <w:t>do terenów zabudowy o wysokiej intensywności, położonej w centrum</w:t>
      </w:r>
      <w:r w:rsidR="00AB074F" w:rsidRPr="00662F03">
        <w:rPr>
          <w:rFonts w:ascii="Calibri" w:hAnsi="Calibri" w:cs="Tahoma"/>
          <w:sz w:val="22"/>
          <w:szCs w:val="22"/>
        </w:rPr>
        <w:t xml:space="preserve"> </w:t>
      </w:r>
      <w:r w:rsidRPr="00662F03">
        <w:rPr>
          <w:rFonts w:ascii="Calibri" w:hAnsi="Calibri" w:cs="Tahoma"/>
          <w:sz w:val="22"/>
          <w:szCs w:val="22"/>
        </w:rPr>
        <w:t>miasta i dużych osiedlach mieszkaniowych. Jej źródłem jest system ośmiu</w:t>
      </w:r>
      <w:r w:rsidR="00AB074F" w:rsidRPr="00662F03">
        <w:rPr>
          <w:rFonts w:ascii="Calibri" w:hAnsi="Calibri" w:cs="Tahoma"/>
          <w:sz w:val="22"/>
          <w:szCs w:val="22"/>
        </w:rPr>
        <w:t xml:space="preserve"> </w:t>
      </w:r>
      <w:r w:rsidRPr="00662F03">
        <w:rPr>
          <w:rFonts w:ascii="Calibri" w:hAnsi="Calibri" w:cs="Tahoma"/>
          <w:sz w:val="22"/>
          <w:szCs w:val="22"/>
        </w:rPr>
        <w:t>kotłowni. Są to obiekty wbudowane lub</w:t>
      </w:r>
      <w:r w:rsidR="00AB074F" w:rsidRPr="00662F03">
        <w:rPr>
          <w:rFonts w:ascii="Calibri" w:hAnsi="Calibri" w:cs="Tahoma"/>
          <w:sz w:val="22"/>
          <w:szCs w:val="22"/>
        </w:rPr>
        <w:t xml:space="preserve"> </w:t>
      </w:r>
      <w:r w:rsidRPr="00662F03">
        <w:rPr>
          <w:rFonts w:ascii="Calibri" w:hAnsi="Calibri" w:cs="Tahoma"/>
          <w:sz w:val="22"/>
          <w:szCs w:val="22"/>
        </w:rPr>
        <w:t>wolnostojące, wytwarzające ciepło na potrzeby centralnego ogrzewania i</w:t>
      </w:r>
      <w:r w:rsidR="00AB074F" w:rsidRPr="00662F03">
        <w:rPr>
          <w:rFonts w:ascii="Calibri" w:hAnsi="Calibri" w:cs="Tahoma"/>
          <w:sz w:val="22"/>
          <w:szCs w:val="22"/>
        </w:rPr>
        <w:t xml:space="preserve"> </w:t>
      </w:r>
      <w:r w:rsidRPr="00662F03">
        <w:rPr>
          <w:rFonts w:ascii="Calibri" w:hAnsi="Calibri" w:cs="Tahoma"/>
          <w:sz w:val="22"/>
          <w:szCs w:val="22"/>
        </w:rPr>
        <w:t xml:space="preserve">przygotowania ciepłej wody użytkowej. Kotłownie miejskie </w:t>
      </w:r>
      <w:r w:rsidR="00AB074F" w:rsidRPr="00662F03">
        <w:rPr>
          <w:rFonts w:ascii="Calibri" w:hAnsi="Calibri" w:cs="Tahoma"/>
          <w:sz w:val="22"/>
          <w:szCs w:val="22"/>
        </w:rPr>
        <w:t xml:space="preserve">są </w:t>
      </w:r>
      <w:r w:rsidRPr="00662F03">
        <w:rPr>
          <w:rFonts w:ascii="Calibri" w:hAnsi="Calibri" w:cs="Tahoma"/>
          <w:sz w:val="22"/>
          <w:szCs w:val="22"/>
        </w:rPr>
        <w:t>eksploatowane</w:t>
      </w:r>
      <w:r w:rsidR="00AB074F" w:rsidRPr="00662F03">
        <w:rPr>
          <w:rFonts w:ascii="Calibri" w:hAnsi="Calibri" w:cs="Tahoma"/>
          <w:sz w:val="22"/>
          <w:szCs w:val="22"/>
        </w:rPr>
        <w:t xml:space="preserve"> </w:t>
      </w:r>
      <w:r w:rsidRPr="00662F03">
        <w:rPr>
          <w:rFonts w:ascii="Calibri" w:hAnsi="Calibri" w:cs="Tahoma"/>
          <w:sz w:val="22"/>
          <w:szCs w:val="22"/>
        </w:rPr>
        <w:t>przez Zakład Energetyki Cieplnej w Nowej Soli</w:t>
      </w:r>
      <w:r w:rsidR="00AB074F" w:rsidRPr="00662F03">
        <w:rPr>
          <w:rFonts w:ascii="Calibri" w:hAnsi="Calibri" w:cs="Tahoma"/>
          <w:sz w:val="22"/>
          <w:szCs w:val="22"/>
        </w:rPr>
        <w:t xml:space="preserve">. Na terenie miasta występują dwa typy sieci cieplnej: </w:t>
      </w:r>
      <w:r w:rsidR="000F3CAD" w:rsidRPr="00662F03">
        <w:rPr>
          <w:rFonts w:ascii="Calibri" w:hAnsi="Calibri" w:cs="Tahoma"/>
          <w:sz w:val="22"/>
          <w:szCs w:val="22"/>
        </w:rPr>
        <w:t>wysoko</w:t>
      </w:r>
      <w:r w:rsidR="0046541F" w:rsidRPr="00662F03">
        <w:rPr>
          <w:rFonts w:ascii="Calibri" w:hAnsi="Calibri" w:cs="Tahoma"/>
          <w:sz w:val="22"/>
          <w:szCs w:val="22"/>
        </w:rPr>
        <w:t>-</w:t>
      </w:r>
      <w:r w:rsidR="00AB074F" w:rsidRPr="00662F03">
        <w:rPr>
          <w:rFonts w:ascii="Calibri" w:hAnsi="Calibri" w:cs="Tahoma"/>
          <w:sz w:val="22"/>
          <w:szCs w:val="22"/>
        </w:rPr>
        <w:t xml:space="preserve"> i niskotemperaturow</w:t>
      </w:r>
      <w:r w:rsidR="0046541F" w:rsidRPr="00662F03">
        <w:rPr>
          <w:rFonts w:ascii="Calibri" w:hAnsi="Calibri" w:cs="Tahoma"/>
          <w:sz w:val="22"/>
          <w:szCs w:val="22"/>
        </w:rPr>
        <w:t>a</w:t>
      </w:r>
      <w:r w:rsidR="00AB074F" w:rsidRPr="00662F03">
        <w:rPr>
          <w:rFonts w:ascii="Calibri" w:hAnsi="Calibri" w:cs="Tahoma"/>
          <w:sz w:val="22"/>
          <w:szCs w:val="22"/>
        </w:rPr>
        <w:t xml:space="preserve">. </w:t>
      </w:r>
      <w:r w:rsidR="00C35E67" w:rsidRPr="00662F03">
        <w:rPr>
          <w:rFonts w:ascii="Calibri" w:hAnsi="Calibri" w:cs="Tahoma"/>
          <w:sz w:val="22"/>
          <w:szCs w:val="22"/>
        </w:rPr>
        <w:t>Część potrzeb miasta jest pokrywana z wykorzystaniem indywidualnych rozwiązań grzewczych. Szczególnie dotyczy to budynków zlokalizowanych poza terenem centrum i dużych osiedli mieszkaniowych. Ciepło jest w tych przypadkach wytwarzane w indywidualnych kotłowniach, spalających przede wszystkim paliwa stałe: węgiel, koks i drewno. Te same paliwa wykorzystywane są w piecach kaflowych oraz w piecach innej konstrukcji. Skutkiem ich spalania jest emisja do atmosfery szkodliwych substancji, powodujących jej zanieczyszczenie, głównie związków siarki. W nowobudowanych domach jednorodzinnych instaluje się także kotłownie spalające gaz płynny i olej opałowy. Do ogrzewania niewielkich powierzchni wykorzystywana jest także energia elektryczna.</w:t>
      </w:r>
      <w:r w:rsidR="00AB074F" w:rsidRPr="00662F03">
        <w:rPr>
          <w:rFonts w:ascii="Calibri" w:hAnsi="Calibri" w:cs="Tahoma"/>
          <w:sz w:val="22"/>
          <w:szCs w:val="22"/>
        </w:rPr>
        <w:t xml:space="preserve"> Ciepło produkowane w kotłowniach miejskich jest obecnie wykorzystywane wyłącznie dla celów ogrzewania wody i mieszkań. Zakład Energetyki Cieplnej nie dostarcza energii cieplnej dla celów produkcyjnych. Wiąże się to z regresem działalności gospodarczej dużych zakładów przemysłowych na terenie Nowej Soli w ostatnich latach</w:t>
      </w:r>
      <w:r w:rsidR="00AB074F" w:rsidRPr="00662F03">
        <w:rPr>
          <w:rFonts w:ascii="Calibri" w:hAnsi="Calibri" w:cs="Tahoma"/>
          <w:sz w:val="22"/>
          <w:szCs w:val="22"/>
          <w:vertAlign w:val="superscript"/>
        </w:rPr>
        <w:footnoteReference w:id="9"/>
      </w:r>
      <w:r w:rsidR="00AB074F" w:rsidRPr="00662F03">
        <w:rPr>
          <w:rFonts w:ascii="Calibri" w:hAnsi="Calibri" w:cs="Tahoma"/>
          <w:sz w:val="22"/>
          <w:szCs w:val="22"/>
        </w:rPr>
        <w:t>.</w:t>
      </w:r>
    </w:p>
    <w:p w:rsidR="00AA7322" w:rsidRPr="00662F03" w:rsidRDefault="00A1023D"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posiada plan zaopatrzenia w ciepło, energię elektryczną i paliwa gazowe sporządzony</w:t>
      </w:r>
      <w:r w:rsidR="00E20829" w:rsidRPr="00662F03">
        <w:rPr>
          <w:rFonts w:ascii="Calibri" w:hAnsi="Calibri" w:cs="Tahoma"/>
          <w:sz w:val="22"/>
          <w:szCs w:val="22"/>
        </w:rPr>
        <w:t xml:space="preserve"> w oparciu o umowę zawartą pomiędzy Prezydentem Miasta Nowa Sól, a Fundacją na rzecz Efektywnego Wykorzystania Energii w Katowicach.</w:t>
      </w:r>
      <w:r w:rsidR="00AA7322" w:rsidRPr="00662F03">
        <w:rPr>
          <w:rFonts w:ascii="Calibri" w:hAnsi="Calibri" w:cs="Tahoma"/>
          <w:sz w:val="22"/>
          <w:szCs w:val="22"/>
        </w:rPr>
        <w:t xml:space="preserve"> Plan zakłada kierunkową realizację zintegrowanego planowania i zarządzania gospodarką energetyczną miasta, prowadzącą do możliwie najniższych kosztów usług energetycznych.</w:t>
      </w:r>
    </w:p>
    <w:p w:rsidR="006E4C3C" w:rsidRPr="00662F03" w:rsidRDefault="006E4C3C" w:rsidP="006E4C3C">
      <w:pPr>
        <w:shd w:val="clear" w:color="auto" w:fill="FFFFFF"/>
        <w:spacing w:before="150" w:after="75"/>
        <w:jc w:val="both"/>
        <w:outlineLvl w:val="3"/>
        <w:rPr>
          <w:rFonts w:ascii="Calibri" w:hAnsi="Calibri" w:cs="Tahoma"/>
          <w:bCs/>
          <w:sz w:val="22"/>
          <w:szCs w:val="22"/>
        </w:rPr>
      </w:pPr>
      <w:r w:rsidRPr="00662F03">
        <w:rPr>
          <w:rFonts w:ascii="Calibri" w:hAnsi="Calibri" w:cs="Tahoma"/>
          <w:sz w:val="22"/>
          <w:szCs w:val="22"/>
        </w:rPr>
        <w:lastRenderedPageBreak/>
        <w:t xml:space="preserve">Stan techniczny obiektów użyteczności publicznej w </w:t>
      </w:r>
      <w:r w:rsidR="009507EF">
        <w:rPr>
          <w:rFonts w:ascii="Calibri" w:hAnsi="Calibri" w:cs="Tahoma"/>
          <w:sz w:val="22"/>
          <w:szCs w:val="22"/>
        </w:rPr>
        <w:t>mieście</w:t>
      </w:r>
      <w:r w:rsidRPr="00662F03">
        <w:rPr>
          <w:rFonts w:ascii="Calibri" w:hAnsi="Calibri" w:cs="Tahoma"/>
          <w:sz w:val="22"/>
          <w:szCs w:val="22"/>
        </w:rPr>
        <w:t xml:space="preserve"> jest na ogół dobry. </w:t>
      </w:r>
      <w:r w:rsidRPr="00662F03">
        <w:rPr>
          <w:rFonts w:ascii="Calibri" w:hAnsi="Calibri" w:cs="Tahoma"/>
          <w:bCs/>
          <w:sz w:val="22"/>
          <w:szCs w:val="22"/>
        </w:rPr>
        <w:t>W zakresie stanu technicznego placówek oświatowych gimnazja są w stosunkowo dobrym stanie. W ostatnich latach przeprowadzono generalną modernizację gimnazjum nr 2 i 3. W gimnazjum nr 2 pozostało do zrealizowania zagospodarowanie terenu wokół szkoły. Natomiast w gimnazjum nr 1 wymieniono wszystkie okna, remonty są przeprowadzane systematycznie, do remontu pozostaje elewacja.</w:t>
      </w:r>
    </w:p>
    <w:p w:rsidR="006E4C3C" w:rsidRPr="00662F03" w:rsidRDefault="006E4C3C" w:rsidP="006E4C3C">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Stan techniczny szkół podstawowych jest również zadowalający. Nie identyfikuje się większych potrzeb w zakresie remontów i modernizacji. Również infrastruktura wokół szkół, zagospodarowanie terenu jest dobre. W ostatnich latach zrealizowano wiele ważnych inwestycji w zakresie infrastruktury szkolnej.</w:t>
      </w:r>
    </w:p>
    <w:p w:rsidR="00A367DE" w:rsidRPr="00662F03" w:rsidRDefault="00A367DE" w:rsidP="00A367DE">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Stan techniczny Nowosolskiego Ośrodka Kultu</w:t>
      </w:r>
      <w:r w:rsidR="003F7EC2" w:rsidRPr="00662F03">
        <w:rPr>
          <w:rFonts w:ascii="Calibri" w:hAnsi="Calibri" w:cs="Tahoma"/>
          <w:bCs/>
          <w:sz w:val="22"/>
          <w:szCs w:val="22"/>
        </w:rPr>
        <w:t>ry jest zły. Budynek od lat niemodernizowany</w:t>
      </w:r>
      <w:r w:rsidRPr="00662F03">
        <w:rPr>
          <w:rFonts w:ascii="Calibri" w:hAnsi="Calibri" w:cs="Tahoma"/>
          <w:bCs/>
          <w:sz w:val="22"/>
          <w:szCs w:val="22"/>
        </w:rPr>
        <w:t xml:space="preserve"> jest bardzo nieatrakcyjny d</w:t>
      </w:r>
      <w:r w:rsidR="009507EF">
        <w:rPr>
          <w:rFonts w:ascii="Calibri" w:hAnsi="Calibri" w:cs="Tahoma"/>
          <w:bCs/>
          <w:sz w:val="22"/>
          <w:szCs w:val="22"/>
        </w:rPr>
        <w:t>la</w:t>
      </w:r>
      <w:r w:rsidRPr="00662F03">
        <w:rPr>
          <w:rFonts w:ascii="Calibri" w:hAnsi="Calibri" w:cs="Tahoma"/>
          <w:bCs/>
          <w:sz w:val="22"/>
          <w:szCs w:val="22"/>
        </w:rPr>
        <w:t xml:space="preserve"> realizacji imprez i wydarzeń kulturalnych. Zarówno elewacje, jak i wnętrza ośrodka wymagają remontu i modernizacji. Funkcje, o które budynek powinien być rozbudowany to głównie wystawiennicza, sala konferencyjna, </w:t>
      </w:r>
      <w:r w:rsidR="000B6C16" w:rsidRPr="00662F03">
        <w:rPr>
          <w:rFonts w:ascii="Calibri" w:hAnsi="Calibri" w:cs="Tahoma"/>
          <w:bCs/>
          <w:sz w:val="22"/>
          <w:szCs w:val="22"/>
        </w:rPr>
        <w:t xml:space="preserve">sale </w:t>
      </w:r>
      <w:r w:rsidRPr="00662F03">
        <w:rPr>
          <w:rFonts w:ascii="Calibri" w:hAnsi="Calibri" w:cs="Tahoma"/>
          <w:bCs/>
          <w:sz w:val="22"/>
          <w:szCs w:val="22"/>
        </w:rPr>
        <w:t xml:space="preserve">pod lokalizację nowych pracowni. Brakuje również zaplecza dla nowej sali widowiskowej. Obecnie zainteresowanie ofertą kulturalną ośrodka nie jest określane jako duże przez animatorów kultury. Oferta kierowana jest </w:t>
      </w:r>
      <w:r w:rsidR="008C5349" w:rsidRPr="00662F03">
        <w:rPr>
          <w:rFonts w:ascii="Calibri" w:hAnsi="Calibri" w:cs="Tahoma"/>
          <w:bCs/>
          <w:sz w:val="22"/>
          <w:szCs w:val="22"/>
        </w:rPr>
        <w:t xml:space="preserve">głównie </w:t>
      </w:r>
      <w:r w:rsidRPr="00662F03">
        <w:rPr>
          <w:rFonts w:ascii="Calibri" w:hAnsi="Calibri" w:cs="Tahoma"/>
          <w:bCs/>
          <w:sz w:val="22"/>
          <w:szCs w:val="22"/>
        </w:rPr>
        <w:t>do dzieci i młodzieży szkolnej.</w:t>
      </w:r>
    </w:p>
    <w:p w:rsidR="000B6C16" w:rsidRPr="00662F03" w:rsidRDefault="000B6C16" w:rsidP="000B6C16">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MOSiR dysponuje obecnie następującymi obiektami: stadion miejski, 2 hale sportowe z obiektami towarzyszącymi, Orlik, Park Krasnala, przystań kajakowa z mariną, Park Kacza Górka oraz kąpielisko – Trzeci Staw. Stan techniczny obiektów sportowych i rekreacyjnych jest różny, przebudowy wymaga stadion, ponieważ obiekt nie odpowiada standardom bezpieczeństwa, nawierzchnia wymaga modernizacji. Hale sportowe są w stosunkowo dobrym stanie. Hala przy ul. Botanicznej wymaga trochę większych napraw oraz zagospodarowania terenu. Stan techniczny tych obiektów jest dobry, jednak nie wystarczają one do organizacji większych imprez.</w:t>
      </w:r>
    </w:p>
    <w:p w:rsidR="000B6C16" w:rsidRPr="00662F03" w:rsidRDefault="000B6C16" w:rsidP="000B6C16">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Na etapie diagnozy zidentyfikowano potrzebę budowy hali widowiskowo-sportowej na minimum 2 tys. miejsc. Inwestycją, która jest przywoływana podczas debat o sporcie i rekreacji w Nowej Soli jest budowa basenu.</w:t>
      </w:r>
    </w:p>
    <w:p w:rsidR="00A1023D" w:rsidRPr="00662F03" w:rsidRDefault="00A1023D" w:rsidP="004E5A9A">
      <w:pPr>
        <w:jc w:val="both"/>
        <w:rPr>
          <w:rFonts w:ascii="Calibri" w:hAnsi="Calibri"/>
          <w:sz w:val="22"/>
          <w:szCs w:val="22"/>
        </w:rPr>
      </w:pPr>
    </w:p>
    <w:p w:rsidR="00A56F0E" w:rsidRPr="00662F03" w:rsidRDefault="005433B6" w:rsidP="00DB4C88">
      <w:pPr>
        <w:rPr>
          <w:rFonts w:ascii="Calibri" w:hAnsi="Calibri"/>
          <w:sz w:val="22"/>
          <w:szCs w:val="22"/>
        </w:rPr>
      </w:pPr>
      <w:r>
        <w:rPr>
          <w:rFonts w:ascii="Calibri" w:hAnsi="Calibri"/>
          <w:sz w:val="22"/>
          <w:szCs w:val="22"/>
        </w:rPr>
      </w:r>
      <w:r>
        <w:rPr>
          <w:rFonts w:ascii="Calibri" w:hAnsi="Calibri"/>
          <w:sz w:val="22"/>
          <w:szCs w:val="22"/>
        </w:rPr>
        <w:pict>
          <v:rect id="_x0000_s1048" style="width:449.8pt;height:143.4pt;rotation:-360;mso-position-horizontal-relative:char;mso-position-vertical-relative:line" o:allowincell="f" fillcolor="#a7bfde" stroked="f">
            <v:fill opacity="13107f"/>
            <v:imagedata embosscolor="shadow add(51)"/>
            <v:shadow on="t" color="#d4cfb3" opacity=".5" offset="19pt,-21pt" offset2="26pt,-30pt"/>
            <v:textbox style="mso-next-textbox:#_x0000_s1048;mso-fit-shape-to-text:t" inset="28.8pt,7.2pt,14.4pt,28.8pt">
              <w:txbxContent>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Nowa Sól dysponuje dobrze rozwiniętą infrastrukturą techniczną. Mieszkańcy posiadają dobry dostęp do podstawowych mediów komunalnych. W najbliższych latach usprawniony zostanie system gospodarki wodno-ściekowej.</w:t>
                  </w:r>
                </w:p>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W związku z rozwojem technologii zakłada się dalszy wzrost zużycia energii elektrycznej, dlatego konieczne jest zabezpieczenie potrzeb energetycznych Miasta.</w:t>
                  </w:r>
                </w:p>
                <w:p w:rsidR="00D24064" w:rsidRPr="00EC0E96" w:rsidRDefault="00D24064" w:rsidP="00DB4C88">
                  <w:pPr>
                    <w:jc w:val="both"/>
                    <w:rPr>
                      <w:rFonts w:ascii="Calibri" w:hAnsi="Calibri"/>
                      <w:i/>
                      <w:iCs/>
                      <w:color w:val="1F497D"/>
                      <w:sz w:val="22"/>
                      <w:szCs w:val="28"/>
                    </w:rPr>
                  </w:pPr>
                  <w:r w:rsidRPr="00EC0E96">
                    <w:rPr>
                      <w:rFonts w:ascii="Calibri" w:hAnsi="Calibri"/>
                      <w:i/>
                      <w:iCs/>
                      <w:color w:val="1F497D"/>
                      <w:sz w:val="22"/>
                      <w:szCs w:val="28"/>
                    </w:rPr>
                    <w:t>Niektóre obiekty użyteczności publicznej wymagają remontów i modernizacji, dotyczy to szczególnie głównego budynku NOK.</w:t>
                  </w:r>
                </w:p>
              </w:txbxContent>
            </v:textbox>
            <w10:wrap type="none" anchorx="margin" anchory="page"/>
            <w10:anchorlock/>
          </v:rect>
        </w:pict>
      </w:r>
    </w:p>
    <w:p w:rsidR="0097472E" w:rsidRPr="00662F03" w:rsidRDefault="0097472E" w:rsidP="004E5A9A">
      <w:pPr>
        <w:jc w:val="both"/>
        <w:rPr>
          <w:rFonts w:ascii="Calibri" w:hAnsi="Calibri"/>
          <w:sz w:val="22"/>
          <w:szCs w:val="22"/>
        </w:rPr>
      </w:pPr>
    </w:p>
    <w:p w:rsidR="00270B39" w:rsidRPr="00662F03" w:rsidRDefault="003451FE" w:rsidP="007F5FC1">
      <w:pPr>
        <w:pStyle w:val="Nagwek2"/>
        <w:numPr>
          <w:ilvl w:val="1"/>
          <w:numId w:val="1"/>
        </w:numPr>
        <w:spacing w:line="240" w:lineRule="auto"/>
        <w:rPr>
          <w:rFonts w:ascii="Calibri" w:hAnsi="Calibri"/>
          <w:color w:val="17365D"/>
          <w:sz w:val="22"/>
          <w:szCs w:val="22"/>
        </w:rPr>
      </w:pPr>
      <w:bookmarkStart w:id="40" w:name="_Toc316395258"/>
      <w:r w:rsidRPr="00662F03">
        <w:rPr>
          <w:rFonts w:ascii="Calibri" w:hAnsi="Calibri"/>
          <w:color w:val="17365D"/>
          <w:sz w:val="22"/>
          <w:szCs w:val="22"/>
        </w:rPr>
        <w:t>System komunikacji, transportu</w:t>
      </w:r>
      <w:bookmarkEnd w:id="40"/>
    </w:p>
    <w:p w:rsidR="00D41ADD" w:rsidRPr="00662F03" w:rsidRDefault="00A1023D"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System infrastruktury transportu w Nowej Soli charakteryzuje się ogólnie dobrym stanem rozwoju. Nowa Sól jest ważnym węzłem </w:t>
      </w:r>
      <w:r w:rsidR="008C5511" w:rsidRPr="00662F03">
        <w:rPr>
          <w:rFonts w:ascii="Calibri" w:hAnsi="Calibri" w:cs="Tahoma"/>
          <w:sz w:val="22"/>
          <w:szCs w:val="22"/>
        </w:rPr>
        <w:t>komunikacji drogowej, kolejowej</w:t>
      </w:r>
      <w:r w:rsidRPr="00662F03">
        <w:rPr>
          <w:rFonts w:ascii="Calibri" w:hAnsi="Calibri" w:cs="Tahoma"/>
          <w:sz w:val="22"/>
          <w:szCs w:val="22"/>
        </w:rPr>
        <w:t>, a także jednym z portów na Odrzańskiej drodze wodnej.</w:t>
      </w:r>
      <w:r w:rsidR="00290167" w:rsidRPr="00662F03">
        <w:rPr>
          <w:rFonts w:ascii="Calibri" w:hAnsi="Calibri" w:cs="Tahoma"/>
          <w:sz w:val="22"/>
          <w:szCs w:val="22"/>
        </w:rPr>
        <w:t xml:space="preserve"> Nowa Sól położona jest na skrzyżowaniu drogi krajowej nr 3 z drogami wojewódzkimi nr 292, 297 i 315.</w:t>
      </w:r>
      <w:r w:rsidR="00DE3F37" w:rsidRPr="00662F03">
        <w:rPr>
          <w:rFonts w:ascii="Calibri" w:hAnsi="Calibri" w:cs="Tahoma"/>
          <w:sz w:val="22"/>
          <w:szCs w:val="22"/>
        </w:rPr>
        <w:t xml:space="preserve"> </w:t>
      </w:r>
      <w:r w:rsidR="0092716D" w:rsidRPr="00662F03">
        <w:rPr>
          <w:rFonts w:ascii="Calibri" w:hAnsi="Calibri" w:cs="Tahoma"/>
          <w:sz w:val="22"/>
          <w:szCs w:val="22"/>
        </w:rPr>
        <w:t xml:space="preserve">Przez </w:t>
      </w:r>
      <w:r w:rsidR="009507EF">
        <w:rPr>
          <w:rFonts w:ascii="Calibri" w:hAnsi="Calibri" w:cs="Tahoma"/>
          <w:sz w:val="22"/>
          <w:szCs w:val="22"/>
        </w:rPr>
        <w:t>m</w:t>
      </w:r>
      <w:r w:rsidR="0092716D" w:rsidRPr="00662F03">
        <w:rPr>
          <w:rFonts w:ascii="Calibri" w:hAnsi="Calibri" w:cs="Tahoma"/>
          <w:sz w:val="22"/>
          <w:szCs w:val="22"/>
        </w:rPr>
        <w:t xml:space="preserve">iasto Nowa Sól przebiega 5 dróg wojewódzkich, 58 dróg powiatowych, 177 dróg gminnych. Wiele z dróg gminnych wymaga remontu nawierzchni lub przebudowy. </w:t>
      </w:r>
      <w:r w:rsidR="00417124" w:rsidRPr="00662F03">
        <w:rPr>
          <w:rFonts w:ascii="Calibri" w:hAnsi="Calibri" w:cs="Tahoma"/>
          <w:sz w:val="22"/>
          <w:szCs w:val="22"/>
        </w:rPr>
        <w:t xml:space="preserve">Zarząd Województwa Lubuskiego zatwierdził do realizacji projekt pt. „Budowa obwodnicy Nowej Soli – etap I”, który został ujęty w Indykatywnym Planie Inwestycyjnym Lubuskiego </w:t>
      </w:r>
      <w:r w:rsidR="00417124" w:rsidRPr="00662F03">
        <w:rPr>
          <w:rFonts w:ascii="Calibri" w:hAnsi="Calibri" w:cs="Tahoma"/>
          <w:sz w:val="22"/>
          <w:szCs w:val="22"/>
        </w:rPr>
        <w:lastRenderedPageBreak/>
        <w:t xml:space="preserve">Regionalnego Programu Operacyjnego na lata 2007-2013. Droga zostanie oddana do użytku </w:t>
      </w:r>
      <w:r w:rsidR="0046541F" w:rsidRPr="00662F03">
        <w:rPr>
          <w:rFonts w:ascii="Calibri" w:hAnsi="Calibri" w:cs="Tahoma"/>
          <w:sz w:val="22"/>
          <w:szCs w:val="22"/>
        </w:rPr>
        <w:t>pod koniec</w:t>
      </w:r>
      <w:r w:rsidR="00417124" w:rsidRPr="00662F03">
        <w:rPr>
          <w:rFonts w:ascii="Calibri" w:hAnsi="Calibri" w:cs="Tahoma"/>
          <w:sz w:val="22"/>
          <w:szCs w:val="22"/>
        </w:rPr>
        <w:t xml:space="preserve"> 2012 roku.</w:t>
      </w:r>
      <w:r w:rsidR="00ED370C" w:rsidRPr="00662F03">
        <w:rPr>
          <w:rFonts w:ascii="Calibri" w:hAnsi="Calibri" w:cs="Tahoma"/>
          <w:sz w:val="22"/>
          <w:szCs w:val="22"/>
        </w:rPr>
        <w:t xml:space="preserve"> Planowana </w:t>
      </w:r>
      <w:r w:rsidR="005643A4" w:rsidRPr="00662F03">
        <w:rPr>
          <w:rFonts w:ascii="Calibri" w:hAnsi="Calibri" w:cs="Tahoma"/>
          <w:sz w:val="22"/>
          <w:szCs w:val="22"/>
        </w:rPr>
        <w:t xml:space="preserve">południowa </w:t>
      </w:r>
      <w:r w:rsidR="00ED370C" w:rsidRPr="00662F03">
        <w:rPr>
          <w:rFonts w:ascii="Calibri" w:hAnsi="Calibri" w:cs="Tahoma"/>
          <w:sz w:val="22"/>
          <w:szCs w:val="22"/>
        </w:rPr>
        <w:t>obwodnica miejska wyprowadzi ruch kołowy obrzeżami miasta pozwalając na uniknięcie uciążliwego ruchu tranzytowego w centrum.</w:t>
      </w:r>
    </w:p>
    <w:p w:rsidR="00D41ADD" w:rsidRDefault="009C26D3"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posiada</w:t>
      </w:r>
      <w:r w:rsidR="00ED370C" w:rsidRPr="00662F03">
        <w:rPr>
          <w:rFonts w:ascii="Calibri" w:hAnsi="Calibri" w:cs="Tahoma"/>
          <w:sz w:val="22"/>
          <w:szCs w:val="22"/>
        </w:rPr>
        <w:t xml:space="preserve"> obecnie</w:t>
      </w:r>
      <w:r w:rsidRPr="00662F03">
        <w:rPr>
          <w:rFonts w:ascii="Calibri" w:hAnsi="Calibri" w:cs="Tahoma"/>
          <w:sz w:val="22"/>
          <w:szCs w:val="22"/>
        </w:rPr>
        <w:t xml:space="preserve"> jedn</w:t>
      </w:r>
      <w:r w:rsidR="00ED370C" w:rsidRPr="00662F03">
        <w:rPr>
          <w:rFonts w:ascii="Calibri" w:hAnsi="Calibri" w:cs="Tahoma"/>
          <w:sz w:val="22"/>
          <w:szCs w:val="22"/>
        </w:rPr>
        <w:t>ą</w:t>
      </w:r>
      <w:r w:rsidRPr="00662F03">
        <w:rPr>
          <w:rFonts w:ascii="Calibri" w:hAnsi="Calibri" w:cs="Tahoma"/>
          <w:sz w:val="22"/>
          <w:szCs w:val="22"/>
        </w:rPr>
        <w:t xml:space="preserve"> </w:t>
      </w:r>
      <w:r w:rsidR="008753D5" w:rsidRPr="00662F03">
        <w:rPr>
          <w:rFonts w:ascii="Calibri" w:hAnsi="Calibri" w:cs="Tahoma"/>
          <w:sz w:val="22"/>
          <w:szCs w:val="22"/>
        </w:rPr>
        <w:t xml:space="preserve">czynną </w:t>
      </w:r>
      <w:r w:rsidR="0046541F" w:rsidRPr="00662F03">
        <w:rPr>
          <w:rFonts w:ascii="Calibri" w:hAnsi="Calibri" w:cs="Tahoma"/>
          <w:sz w:val="22"/>
          <w:szCs w:val="22"/>
        </w:rPr>
        <w:t>linię kolejową relacji Wrocław-Szczecin</w:t>
      </w:r>
      <w:r w:rsidRPr="00662F03">
        <w:rPr>
          <w:rFonts w:ascii="Calibri" w:hAnsi="Calibri" w:cs="Tahoma"/>
          <w:sz w:val="22"/>
          <w:szCs w:val="22"/>
        </w:rPr>
        <w:t xml:space="preserve">, tzw. </w:t>
      </w:r>
      <w:r w:rsidR="00730AA0">
        <w:rPr>
          <w:rFonts w:ascii="Calibri" w:hAnsi="Calibri" w:cs="Tahoma"/>
          <w:sz w:val="22"/>
          <w:szCs w:val="22"/>
        </w:rPr>
        <w:t>Odrzankę</w:t>
      </w:r>
      <w:r w:rsidR="00636FAA" w:rsidRPr="00662F03">
        <w:rPr>
          <w:rFonts w:ascii="Calibri" w:hAnsi="Calibri" w:cs="Tahoma"/>
          <w:sz w:val="22"/>
          <w:szCs w:val="22"/>
        </w:rPr>
        <w:t>, która stanowi jedno z dwóch głównych połączeń Śląska</w:t>
      </w:r>
      <w:r w:rsidR="00730AA0">
        <w:rPr>
          <w:rFonts w:ascii="Calibri" w:hAnsi="Calibri" w:cs="Tahoma"/>
          <w:sz w:val="22"/>
          <w:szCs w:val="22"/>
        </w:rPr>
        <w:t xml:space="preserve"> z Wybrzeżem</w:t>
      </w:r>
      <w:r w:rsidR="00636FAA" w:rsidRPr="00662F03">
        <w:rPr>
          <w:rFonts w:ascii="Calibri" w:hAnsi="Calibri" w:cs="Tahoma"/>
          <w:sz w:val="22"/>
          <w:szCs w:val="22"/>
        </w:rPr>
        <w:t xml:space="preserve">. </w:t>
      </w:r>
      <w:r w:rsidR="00417124" w:rsidRPr="00662F03">
        <w:rPr>
          <w:rFonts w:ascii="Calibri" w:hAnsi="Calibri" w:cs="Tahoma"/>
          <w:sz w:val="22"/>
          <w:szCs w:val="22"/>
        </w:rPr>
        <w:t>Linia</w:t>
      </w:r>
      <w:r w:rsidR="00472B5B" w:rsidRPr="00662F03">
        <w:rPr>
          <w:rFonts w:ascii="Calibri" w:hAnsi="Calibri" w:cs="Tahoma"/>
          <w:sz w:val="22"/>
          <w:szCs w:val="22"/>
        </w:rPr>
        <w:t xml:space="preserve"> kolejowa na odcinku Wolsztyn-</w:t>
      </w:r>
      <w:r w:rsidR="00417124" w:rsidRPr="00662F03">
        <w:rPr>
          <w:rFonts w:ascii="Calibri" w:hAnsi="Calibri" w:cs="Tahoma"/>
          <w:sz w:val="22"/>
          <w:szCs w:val="22"/>
        </w:rPr>
        <w:t xml:space="preserve">Nowa Sól została zamknięta dla ruchu w 1994 roku. Na </w:t>
      </w:r>
      <w:r w:rsidR="00730AA0">
        <w:rPr>
          <w:rFonts w:ascii="Calibri" w:hAnsi="Calibri" w:cs="Tahoma"/>
          <w:sz w:val="22"/>
          <w:szCs w:val="22"/>
        </w:rPr>
        <w:t>Odrzance</w:t>
      </w:r>
      <w:r w:rsidR="00636FAA" w:rsidRPr="00662F03">
        <w:rPr>
          <w:rFonts w:ascii="Calibri" w:hAnsi="Calibri" w:cs="Tahoma"/>
          <w:sz w:val="22"/>
          <w:szCs w:val="22"/>
        </w:rPr>
        <w:t xml:space="preserve"> dominuje transport towarowy, tym niemniej ruch osobowy zapewnia stosunkowo dobre połączenia z Zieloną Górą, Głogowem, Wrocławiem, a w sezonie </w:t>
      </w:r>
      <w:r w:rsidR="00472B5B" w:rsidRPr="00662F03">
        <w:rPr>
          <w:rFonts w:ascii="Calibri" w:hAnsi="Calibri" w:cs="Tahoma"/>
          <w:sz w:val="22"/>
          <w:szCs w:val="22"/>
        </w:rPr>
        <w:t>letnim</w:t>
      </w:r>
      <w:r w:rsidR="00636FAA" w:rsidRPr="00662F03">
        <w:rPr>
          <w:rFonts w:ascii="Calibri" w:hAnsi="Calibri" w:cs="Tahoma"/>
          <w:sz w:val="22"/>
          <w:szCs w:val="22"/>
        </w:rPr>
        <w:t xml:space="preserve"> również ze Szczecinem i Świnoujściem. Linia została objęta umową o głównych międzynarodowych liniach transportu kombinowanego AGTC. Celem modernizacji jest dostosowanie parametrów linii do standardów technicznych wynikając</w:t>
      </w:r>
      <w:r w:rsidR="0046541F" w:rsidRPr="00662F03">
        <w:rPr>
          <w:rFonts w:ascii="Calibri" w:hAnsi="Calibri" w:cs="Tahoma"/>
          <w:sz w:val="22"/>
          <w:szCs w:val="22"/>
        </w:rPr>
        <w:t>ych</w:t>
      </w:r>
      <w:r w:rsidR="00636FAA" w:rsidRPr="00662F03">
        <w:rPr>
          <w:rFonts w:ascii="Calibri" w:hAnsi="Calibri" w:cs="Tahoma"/>
          <w:sz w:val="22"/>
          <w:szCs w:val="22"/>
        </w:rPr>
        <w:t xml:space="preserve"> z tej umowy</w:t>
      </w:r>
      <w:r w:rsidR="006F1739" w:rsidRPr="00662F03">
        <w:rPr>
          <w:rFonts w:ascii="Calibri" w:hAnsi="Calibri" w:cs="Tahoma"/>
          <w:sz w:val="22"/>
          <w:szCs w:val="22"/>
        </w:rPr>
        <w:t xml:space="preserve">. </w:t>
      </w:r>
      <w:r w:rsidR="0046541F" w:rsidRPr="00662F03">
        <w:rPr>
          <w:rFonts w:ascii="Calibri" w:hAnsi="Calibri" w:cs="Tahoma"/>
          <w:sz w:val="22"/>
          <w:szCs w:val="22"/>
        </w:rPr>
        <w:t>Komisja Europejska</w:t>
      </w:r>
      <w:r w:rsidR="006F1739" w:rsidRPr="00662F03">
        <w:rPr>
          <w:rFonts w:ascii="Calibri" w:hAnsi="Calibri" w:cs="Tahoma"/>
          <w:sz w:val="22"/>
          <w:szCs w:val="22"/>
        </w:rPr>
        <w:t xml:space="preserve"> przyznała pomoc finansową na wykonanie dokumentacji przedprojektowej niezbędnej do przeprowadzenia modernizacji linii</w:t>
      </w:r>
      <w:r w:rsidR="00636FAA" w:rsidRPr="00662F03">
        <w:rPr>
          <w:rFonts w:ascii="Calibri" w:hAnsi="Calibri" w:cs="Tahoma"/>
          <w:sz w:val="22"/>
          <w:szCs w:val="22"/>
          <w:vertAlign w:val="superscript"/>
        </w:rPr>
        <w:footnoteReference w:id="10"/>
      </w:r>
      <w:r w:rsidR="00636FAA" w:rsidRPr="00662F03">
        <w:rPr>
          <w:rFonts w:ascii="Calibri" w:hAnsi="Calibri" w:cs="Tahoma"/>
          <w:sz w:val="22"/>
          <w:szCs w:val="22"/>
        </w:rPr>
        <w:t xml:space="preserve">. </w:t>
      </w:r>
      <w:r w:rsidR="00985B5C" w:rsidRPr="00662F03">
        <w:rPr>
          <w:rFonts w:ascii="Calibri" w:hAnsi="Calibri" w:cs="Tahoma"/>
          <w:sz w:val="22"/>
          <w:szCs w:val="22"/>
        </w:rPr>
        <w:t>W tym roku zakończony został pierwszy etap pra</w:t>
      </w:r>
      <w:r w:rsidR="008C5349" w:rsidRPr="00662F03">
        <w:rPr>
          <w:rFonts w:ascii="Calibri" w:hAnsi="Calibri" w:cs="Tahoma"/>
          <w:sz w:val="22"/>
          <w:szCs w:val="22"/>
        </w:rPr>
        <w:t>c</w:t>
      </w:r>
      <w:r w:rsidR="00985B5C" w:rsidRPr="00662F03">
        <w:rPr>
          <w:rFonts w:ascii="Calibri" w:hAnsi="Calibri" w:cs="Tahoma"/>
          <w:sz w:val="22"/>
          <w:szCs w:val="22"/>
        </w:rPr>
        <w:t xml:space="preserve"> związanych z przygotowaniem projektu modernizacji. Następnym etapem będzie opracowanie dokumentacji projektowej oraz wykonanie robót budowlanych)</w:t>
      </w:r>
      <w:r w:rsidR="00985B5C" w:rsidRPr="00662F03">
        <w:rPr>
          <w:rFonts w:ascii="Calibri" w:hAnsi="Calibri" w:cs="Tahoma"/>
          <w:sz w:val="22"/>
          <w:szCs w:val="22"/>
          <w:vertAlign w:val="superscript"/>
        </w:rPr>
        <w:footnoteReference w:id="11"/>
      </w:r>
      <w:r w:rsidR="00985B5C" w:rsidRPr="00662F03">
        <w:rPr>
          <w:rFonts w:ascii="Calibri" w:hAnsi="Calibri" w:cs="Tahoma"/>
          <w:sz w:val="22"/>
          <w:szCs w:val="22"/>
        </w:rPr>
        <w:t xml:space="preserve">. Obecnie czas podróży tą linią z Zielonej Góry do Nowej Soli wynosi około 40 minut. </w:t>
      </w:r>
      <w:r w:rsidR="00636FAA" w:rsidRPr="00662F03">
        <w:rPr>
          <w:rFonts w:ascii="Calibri" w:hAnsi="Calibri" w:cs="Tahoma"/>
          <w:sz w:val="22"/>
          <w:szCs w:val="22"/>
        </w:rPr>
        <w:t>Zgodnie z planami Polskich Linii Kolejowych SA, linia nadodrzańska powinna zostać poddana modernizacji do roku 2015.</w:t>
      </w:r>
    </w:p>
    <w:p w:rsidR="000946FB" w:rsidRPr="00662F03" w:rsidRDefault="000946FB"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t xml:space="preserve">Przebieg linii kolejowej powoduje problemy komunikacyjne, ponieważ tory kolejowe dzielą </w:t>
      </w:r>
      <w:r w:rsidR="00E642EF">
        <w:rPr>
          <w:rFonts w:ascii="Calibri" w:hAnsi="Calibri" w:cs="Tahoma"/>
          <w:sz w:val="22"/>
          <w:szCs w:val="22"/>
        </w:rPr>
        <w:t>Nową Sól</w:t>
      </w:r>
      <w:r>
        <w:rPr>
          <w:rFonts w:ascii="Calibri" w:hAnsi="Calibri" w:cs="Tahoma"/>
          <w:sz w:val="22"/>
          <w:szCs w:val="22"/>
        </w:rPr>
        <w:t xml:space="preserve"> na pół i utrudniają komunikację pomiędzy dwiema częściami miasta. Jeden wiadukt kolejowy jest niewystarczający.</w:t>
      </w:r>
      <w:r w:rsidR="004610F9">
        <w:rPr>
          <w:rFonts w:ascii="Calibri" w:hAnsi="Calibri" w:cs="Tahoma"/>
          <w:sz w:val="22"/>
          <w:szCs w:val="22"/>
        </w:rPr>
        <w:t xml:space="preserve"> </w:t>
      </w:r>
      <w:r w:rsidR="005453DA">
        <w:rPr>
          <w:rFonts w:ascii="Calibri" w:hAnsi="Calibri" w:cs="Tahoma"/>
          <w:sz w:val="22"/>
          <w:szCs w:val="22"/>
        </w:rPr>
        <w:t xml:space="preserve">Poprawa sytuacji komunikacyjnej będzie możliwa dzięki </w:t>
      </w:r>
      <w:r w:rsidR="004610F9">
        <w:rPr>
          <w:rFonts w:ascii="Calibri" w:hAnsi="Calibri" w:cs="Tahoma"/>
          <w:sz w:val="22"/>
          <w:szCs w:val="22"/>
        </w:rPr>
        <w:t xml:space="preserve">realizacji </w:t>
      </w:r>
      <w:r w:rsidR="004610F9" w:rsidRPr="004610F9">
        <w:rPr>
          <w:rFonts w:ascii="Calibri" w:hAnsi="Calibri" w:cs="Tahoma"/>
          <w:sz w:val="22"/>
          <w:szCs w:val="22"/>
        </w:rPr>
        <w:t>I-go etapu południowej obwodnicy miasta</w:t>
      </w:r>
      <w:r w:rsidR="005453DA">
        <w:rPr>
          <w:rFonts w:ascii="Calibri" w:hAnsi="Calibri" w:cs="Tahoma"/>
          <w:sz w:val="22"/>
          <w:szCs w:val="22"/>
        </w:rPr>
        <w:t xml:space="preserve"> -</w:t>
      </w:r>
      <w:r w:rsidR="004610F9">
        <w:rPr>
          <w:rFonts w:ascii="Calibri" w:hAnsi="Calibri" w:cs="Tahoma"/>
          <w:sz w:val="22"/>
          <w:szCs w:val="22"/>
        </w:rPr>
        <w:t xml:space="preserve"> </w:t>
      </w:r>
      <w:r w:rsidR="005453DA">
        <w:rPr>
          <w:rFonts w:ascii="Calibri" w:hAnsi="Calibri" w:cs="Tahoma"/>
          <w:sz w:val="22"/>
          <w:szCs w:val="22"/>
        </w:rPr>
        <w:t xml:space="preserve">w ramach projektu </w:t>
      </w:r>
      <w:r w:rsidR="004610F9" w:rsidRPr="004610F9">
        <w:rPr>
          <w:rFonts w:ascii="Calibri" w:hAnsi="Calibri" w:cs="Tahoma"/>
          <w:sz w:val="22"/>
          <w:szCs w:val="22"/>
        </w:rPr>
        <w:t>zostanie wybudowany drugi wiadukt nad torami, który połączy obie części miasta przedzielone torami kolejowymi.</w:t>
      </w:r>
      <w:r w:rsidR="00E642EF">
        <w:rPr>
          <w:rFonts w:ascii="Calibri" w:hAnsi="Calibri" w:cs="Tahoma"/>
          <w:sz w:val="22"/>
          <w:szCs w:val="22"/>
        </w:rPr>
        <w:t xml:space="preserve"> Ponadto problemem jest brak przystanków kolejowych na Strefie, Starym Żabnie i osiedlu XXX-lecia</w:t>
      </w:r>
      <w:r w:rsidR="00CC323A">
        <w:rPr>
          <w:rFonts w:ascii="Calibri" w:hAnsi="Calibri" w:cs="Tahoma"/>
          <w:sz w:val="22"/>
          <w:szCs w:val="22"/>
        </w:rPr>
        <w:t xml:space="preserve"> PRL</w:t>
      </w:r>
      <w:r w:rsidR="00E642EF">
        <w:rPr>
          <w:rFonts w:ascii="Calibri" w:hAnsi="Calibri" w:cs="Tahoma"/>
          <w:sz w:val="22"/>
          <w:szCs w:val="22"/>
        </w:rPr>
        <w:t>.</w:t>
      </w:r>
      <w:r w:rsidR="00747296">
        <w:rPr>
          <w:rFonts w:ascii="Calibri" w:hAnsi="Calibri" w:cs="Tahoma"/>
          <w:sz w:val="22"/>
          <w:szCs w:val="22"/>
        </w:rPr>
        <w:t xml:space="preserve"> Obecnie miasto posiada tylko jedną stację kolejową przy ul. Towarowej, która w 2007 r. przeszła gruntowny remont.</w:t>
      </w:r>
      <w:r w:rsidR="00E31CD7">
        <w:rPr>
          <w:rFonts w:ascii="Calibri" w:hAnsi="Calibri" w:cs="Tahoma"/>
          <w:sz w:val="22"/>
          <w:szCs w:val="22"/>
        </w:rPr>
        <w:t xml:space="preserve"> Od wielu lat są prowadzone z koleją rozmowy w kwestii budowy nowych stacji kolejowych i uregulowania stanu prawnego gruntów.</w:t>
      </w:r>
    </w:p>
    <w:p w:rsidR="002E5765" w:rsidRPr="00662F03" w:rsidRDefault="00FE3F4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jest położona na odcinku Odry swobodnie płynącej, cechującej się najsłabszymi parametrami nawigacyjnymi na O</w:t>
      </w:r>
      <w:r w:rsidR="00985B5C" w:rsidRPr="00662F03">
        <w:rPr>
          <w:rFonts w:ascii="Calibri" w:hAnsi="Calibri" w:cs="Tahoma"/>
          <w:sz w:val="22"/>
          <w:szCs w:val="22"/>
        </w:rPr>
        <w:t xml:space="preserve">drzańskiej </w:t>
      </w:r>
      <w:r w:rsidRPr="00662F03">
        <w:rPr>
          <w:rFonts w:ascii="Calibri" w:hAnsi="Calibri" w:cs="Tahoma"/>
          <w:sz w:val="22"/>
          <w:szCs w:val="22"/>
        </w:rPr>
        <w:t>D</w:t>
      </w:r>
      <w:r w:rsidR="00985B5C" w:rsidRPr="00662F03">
        <w:rPr>
          <w:rFonts w:ascii="Calibri" w:hAnsi="Calibri" w:cs="Tahoma"/>
          <w:sz w:val="22"/>
          <w:szCs w:val="22"/>
        </w:rPr>
        <w:t xml:space="preserve">rodze </w:t>
      </w:r>
      <w:r w:rsidRPr="00662F03">
        <w:rPr>
          <w:rFonts w:ascii="Calibri" w:hAnsi="Calibri" w:cs="Tahoma"/>
          <w:sz w:val="22"/>
          <w:szCs w:val="22"/>
        </w:rPr>
        <w:t>W</w:t>
      </w:r>
      <w:r w:rsidR="00985B5C" w:rsidRPr="00662F03">
        <w:rPr>
          <w:rFonts w:ascii="Calibri" w:hAnsi="Calibri" w:cs="Tahoma"/>
          <w:sz w:val="22"/>
          <w:szCs w:val="22"/>
        </w:rPr>
        <w:t>odnej</w:t>
      </w:r>
      <w:r w:rsidRPr="00662F03">
        <w:rPr>
          <w:rFonts w:ascii="Calibri" w:hAnsi="Calibri" w:cs="Tahoma"/>
          <w:sz w:val="22"/>
          <w:szCs w:val="22"/>
        </w:rPr>
        <w:t>. Zgodnie z Rozporządzeniem Rady Ministrów</w:t>
      </w:r>
      <w:r w:rsidR="00EC2EE2" w:rsidRPr="00662F03">
        <w:rPr>
          <w:rFonts w:ascii="Calibri" w:hAnsi="Calibri" w:cs="Tahoma"/>
          <w:sz w:val="22"/>
          <w:szCs w:val="22"/>
          <w:vertAlign w:val="superscript"/>
        </w:rPr>
        <w:footnoteReference w:id="12"/>
      </w:r>
      <w:r w:rsidRPr="00662F03">
        <w:rPr>
          <w:rFonts w:ascii="Calibri" w:hAnsi="Calibri" w:cs="Tahoma"/>
          <w:sz w:val="22"/>
          <w:szCs w:val="22"/>
        </w:rPr>
        <w:t xml:space="preserve"> Odrę w tym rejonie sklasyfikowano jako śródlądową drogę wodną II klasy. Jednak wymogi tej klasy (głębokość tranzytowa 1,8 m) z reguły i tak nie są spełnione przez większą część roku. Ogranicza to w znaczący sposób możliwości obsługi statków (w tym statków pasażerskich).</w:t>
      </w:r>
      <w:r w:rsidR="0015454E" w:rsidRPr="00662F03">
        <w:rPr>
          <w:rFonts w:ascii="Calibri" w:hAnsi="Calibri" w:cs="Tahoma"/>
          <w:sz w:val="22"/>
          <w:szCs w:val="22"/>
        </w:rPr>
        <w:t xml:space="preserve"> Kolejnymi ograniczającymi wielkość statków parametrami drogi wodnej w rejonie Nowej Soli są promienie zakoli rzeki – najmniejsze wynoszą 400 m, co ogranicza długość i szerokość jednostek, jednak możliwa jest żegluga dłuższych, pojedynczych jednostek, wyposażonych w odpowiednie urządzenia sterownicze (np. statki pasażerskie typu „Frederic Chopin”).</w:t>
      </w:r>
    </w:p>
    <w:p w:rsidR="006E0798" w:rsidRPr="00662F03" w:rsidRDefault="0009758A"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t>W</w:t>
      </w:r>
      <w:r w:rsidR="006E0798" w:rsidRPr="00662F03">
        <w:rPr>
          <w:rFonts w:ascii="Calibri" w:hAnsi="Calibri" w:cs="Tahoma"/>
          <w:sz w:val="22"/>
          <w:szCs w:val="22"/>
        </w:rPr>
        <w:t xml:space="preserve"> ramach</w:t>
      </w:r>
      <w:r>
        <w:rPr>
          <w:rFonts w:ascii="Calibri" w:hAnsi="Calibri" w:cs="Tahoma"/>
          <w:sz w:val="22"/>
          <w:szCs w:val="22"/>
        </w:rPr>
        <w:t xml:space="preserve"> III etapu</w:t>
      </w:r>
      <w:r w:rsidR="006E0798" w:rsidRPr="00662F03">
        <w:rPr>
          <w:rFonts w:ascii="Calibri" w:hAnsi="Calibri" w:cs="Tahoma"/>
          <w:sz w:val="22"/>
          <w:szCs w:val="22"/>
        </w:rPr>
        <w:t xml:space="preserve"> rewitalizacji dzielnicy portowej </w:t>
      </w:r>
      <w:r>
        <w:rPr>
          <w:rFonts w:ascii="Calibri" w:hAnsi="Calibri" w:cs="Tahoma"/>
          <w:sz w:val="22"/>
          <w:szCs w:val="22"/>
        </w:rPr>
        <w:t xml:space="preserve">została wykonana </w:t>
      </w:r>
      <w:r w:rsidR="006E0798" w:rsidRPr="00662F03">
        <w:rPr>
          <w:rFonts w:ascii="Calibri" w:hAnsi="Calibri" w:cs="Tahoma"/>
          <w:sz w:val="22"/>
          <w:szCs w:val="22"/>
        </w:rPr>
        <w:t>przebudowa mostu podnoszonego na kanale portowym. Przebudowa mostu m</w:t>
      </w:r>
      <w:r>
        <w:rPr>
          <w:rFonts w:ascii="Calibri" w:hAnsi="Calibri" w:cs="Tahoma"/>
          <w:sz w:val="22"/>
          <w:szCs w:val="22"/>
        </w:rPr>
        <w:t>i</w:t>
      </w:r>
      <w:r w:rsidR="006E0798" w:rsidRPr="00662F03">
        <w:rPr>
          <w:rFonts w:ascii="Calibri" w:hAnsi="Calibri" w:cs="Tahoma"/>
          <w:sz w:val="22"/>
          <w:szCs w:val="22"/>
        </w:rPr>
        <w:t>a</w:t>
      </w:r>
      <w:r>
        <w:rPr>
          <w:rFonts w:ascii="Calibri" w:hAnsi="Calibri" w:cs="Tahoma"/>
          <w:sz w:val="22"/>
          <w:szCs w:val="22"/>
        </w:rPr>
        <w:t>ła</w:t>
      </w:r>
      <w:r w:rsidR="006E0798" w:rsidRPr="00662F03">
        <w:rPr>
          <w:rFonts w:ascii="Calibri" w:hAnsi="Calibri" w:cs="Tahoma"/>
          <w:sz w:val="22"/>
          <w:szCs w:val="22"/>
        </w:rPr>
        <w:t xml:space="preserve"> na celu przywrócenie do użytkowania mechanizmu podnoszenia i opuszczania przęsła ruchomego (czynny i sprawny most podnoszony jest niezbędny dla poruszania się jednostek pływających po wodach kanału).</w:t>
      </w:r>
    </w:p>
    <w:p w:rsidR="00DB69AB" w:rsidRPr="00662F03" w:rsidRDefault="00DB69AB"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Jednym z kluczowych zadań inwestycyjnych</w:t>
      </w:r>
      <w:r w:rsidR="00472B5B" w:rsidRPr="00662F03">
        <w:rPr>
          <w:rFonts w:ascii="Calibri" w:hAnsi="Calibri" w:cs="Tahoma"/>
          <w:sz w:val="22"/>
          <w:szCs w:val="22"/>
        </w:rPr>
        <w:t xml:space="preserve"> zapisanym „Programie dla Odry</w:t>
      </w:r>
      <w:r w:rsidRPr="00662F03">
        <w:rPr>
          <w:rFonts w:ascii="Calibri" w:hAnsi="Calibri" w:cs="Tahoma"/>
          <w:sz w:val="22"/>
          <w:szCs w:val="22"/>
        </w:rPr>
        <w:t xml:space="preserve"> 2006 – aktualizacja” jest budowa kanału ulgi w </w:t>
      </w:r>
      <w:r w:rsidR="00472B5B" w:rsidRPr="00662F03">
        <w:rPr>
          <w:rFonts w:ascii="Calibri" w:hAnsi="Calibri" w:cs="Tahoma"/>
          <w:sz w:val="22"/>
          <w:szCs w:val="22"/>
        </w:rPr>
        <w:t xml:space="preserve">428 </w:t>
      </w:r>
      <w:r w:rsidRPr="00662F03">
        <w:rPr>
          <w:rFonts w:ascii="Calibri" w:hAnsi="Calibri" w:cs="Tahoma"/>
          <w:sz w:val="22"/>
          <w:szCs w:val="22"/>
        </w:rPr>
        <w:t>km rzeki Odry – obejście miasta Nowa Sól.</w:t>
      </w:r>
    </w:p>
    <w:p w:rsidR="008E1F32" w:rsidRPr="00662F03" w:rsidRDefault="0015161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Generalnie stan dróg na terenie miasta jest zadowalający zarówno pod względem jakości nawierzchni (droga krajowa i wojewódzkie)</w:t>
      </w:r>
      <w:r w:rsidR="0009758A">
        <w:rPr>
          <w:rFonts w:ascii="Calibri" w:hAnsi="Calibri" w:cs="Tahoma"/>
          <w:sz w:val="22"/>
          <w:szCs w:val="22"/>
        </w:rPr>
        <w:t>,</w:t>
      </w:r>
      <w:r w:rsidRPr="00662F03">
        <w:rPr>
          <w:rFonts w:ascii="Calibri" w:hAnsi="Calibri" w:cs="Tahoma"/>
          <w:sz w:val="22"/>
          <w:szCs w:val="22"/>
        </w:rPr>
        <w:t xml:space="preserve"> jak i możliwości obsługiwania przez nie poszczególnych obszarów zabudowy. Sieć ta wymaga jednak bieżących napraw (dotyczy to generalnie wszystkich dróg </w:t>
      </w:r>
      <w:r w:rsidRPr="00662F03">
        <w:rPr>
          <w:rFonts w:ascii="Calibri" w:hAnsi="Calibri" w:cs="Tahoma"/>
          <w:sz w:val="22"/>
          <w:szCs w:val="22"/>
        </w:rPr>
        <w:lastRenderedPageBreak/>
        <w:t>powiatowych i większości gminnych) i rozbudowy w niektórych rejonach miasta, zwłaszcza w jego południowej części (w rejonie Zatorza)</w:t>
      </w:r>
      <w:r w:rsidRPr="00662F03">
        <w:rPr>
          <w:rFonts w:ascii="Calibri" w:hAnsi="Calibri" w:cs="Tahoma"/>
          <w:sz w:val="22"/>
          <w:szCs w:val="22"/>
          <w:vertAlign w:val="superscript"/>
        </w:rPr>
        <w:footnoteReference w:id="13"/>
      </w:r>
      <w:r w:rsidRPr="00662F03">
        <w:rPr>
          <w:rFonts w:ascii="Calibri" w:hAnsi="Calibri" w:cs="Tahoma"/>
          <w:sz w:val="22"/>
          <w:szCs w:val="22"/>
        </w:rPr>
        <w:t>.</w:t>
      </w:r>
    </w:p>
    <w:p w:rsidR="00A15F8F" w:rsidRPr="00662F03" w:rsidRDefault="00A15F8F"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roku 2010 w mieście zostało zrealizowanych wiele nowych inwestycji. Znaczącym przedsięwzięciem była budowa drogi łączącej węzeł Nowa Sól w ciągu dr</w:t>
      </w:r>
      <w:r w:rsidR="0030626F" w:rsidRPr="00662F03">
        <w:rPr>
          <w:rFonts w:ascii="Calibri" w:hAnsi="Calibri" w:cs="Tahoma"/>
          <w:sz w:val="22"/>
          <w:szCs w:val="22"/>
        </w:rPr>
        <w:t>ogi krajowej S3 z Kostrzyńsko-</w:t>
      </w:r>
      <w:r w:rsidRPr="00662F03">
        <w:rPr>
          <w:rFonts w:ascii="Calibri" w:hAnsi="Calibri" w:cs="Tahoma"/>
          <w:sz w:val="22"/>
          <w:szCs w:val="22"/>
        </w:rPr>
        <w:t>Słubicką Specjalną Strefą Ekonomiczną – z Podstrefą Nowa Sól. Realizacja inwestycji przewidywała dwa etapy. I etap obejmował budowę drogi od węzła Nowa Sól do Wielospecjalistycznego Szpitala Powiatowego przy ul. Chałubińskiego w Nowej Soli. Po wykonaniu inwestycji dojazd do szpitala z zachodniej, południowej i wschodniej części powiatu nowosolskiego odbywa się z pominięciem zatłoczonego obszaru miasta – osi</w:t>
      </w:r>
      <w:r w:rsidR="0030626F" w:rsidRPr="00662F03">
        <w:rPr>
          <w:rFonts w:ascii="Calibri" w:hAnsi="Calibri" w:cs="Tahoma"/>
          <w:sz w:val="22"/>
          <w:szCs w:val="22"/>
        </w:rPr>
        <w:t>edli Konstytucji 3 Maja i XXX-</w:t>
      </w:r>
      <w:r w:rsidRPr="00662F03">
        <w:rPr>
          <w:rFonts w:ascii="Calibri" w:hAnsi="Calibri" w:cs="Tahoma"/>
          <w:sz w:val="22"/>
          <w:szCs w:val="22"/>
        </w:rPr>
        <w:t>lecia oraz wielu kolizyjnych skrzyżowań, co znacząco skróciło czas dojazdu karetek pogotowia ratunkowego. II etap budowy przewiduje budowę drogi łączącej węzeł Nowa Sól w ciągu drogi krajowej S3 z KS- SSE – Podstrefy Nowa Sól. Realizacja inwestycji zapewni najdogodniejsze połączenie dwóch obszarów aktywności gospodarcze</w:t>
      </w:r>
      <w:r w:rsidR="0030626F" w:rsidRPr="00662F03">
        <w:rPr>
          <w:rFonts w:ascii="Calibri" w:hAnsi="Calibri" w:cs="Tahoma"/>
          <w:sz w:val="22"/>
          <w:szCs w:val="22"/>
        </w:rPr>
        <w:t>j w Nowej Soli – istniejącej K-</w:t>
      </w:r>
      <w:r w:rsidRPr="00662F03">
        <w:rPr>
          <w:rFonts w:ascii="Calibri" w:hAnsi="Calibri" w:cs="Tahoma"/>
          <w:sz w:val="22"/>
          <w:szCs w:val="22"/>
        </w:rPr>
        <w:t>SSSE w północnej części miasta oraz projektowanej Południowej Strefy Rozwoju w południowej, poprzez węzeł Nowa Sól i projektowaną południową obwodnicę Nowej Soli.</w:t>
      </w:r>
    </w:p>
    <w:p w:rsidR="00A15F8F" w:rsidRPr="00662F03" w:rsidRDefault="00A15F8F"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ramach Narodowego Programu Przebudowy Dróg Lokalnych oraz Lubuskiego Regionalnego Programu Operacyjnego realizowany jest wewnętrzny program budowy dróg, obejmujący drogi gminne oraz przebudowę dróg przejętych od powiatu. </w:t>
      </w:r>
      <w:r w:rsidRPr="00662F03">
        <w:rPr>
          <w:rFonts w:ascii="Calibri" w:hAnsi="Calibri" w:cs="Tahoma"/>
          <w:bCs/>
          <w:sz w:val="22"/>
          <w:szCs w:val="22"/>
        </w:rPr>
        <w:t>Miasto obecnie realizuje wiele inwestycji dotyczących przebudowy dróg, głównie w centrum. Potrzeby w tym zakresie pozostaną aktualne w perspektywie do 2022 roku.</w:t>
      </w:r>
    </w:p>
    <w:p w:rsidR="00713615" w:rsidRPr="00662F03" w:rsidRDefault="00713615"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mieście funkcjonuje komunikacja miejska obsługiwana przez PKS Nowa Sól Sp. z o.o. Obecn</w:t>
      </w:r>
      <w:r w:rsidR="00151610" w:rsidRPr="00662F03">
        <w:rPr>
          <w:rFonts w:ascii="Calibri" w:hAnsi="Calibri" w:cs="Tahoma"/>
          <w:sz w:val="22"/>
          <w:szCs w:val="22"/>
        </w:rPr>
        <w:t>ie działa 13 linii autobusowych, docierających w niemal każdy rejon miasta oraz do kilku sołectw zlokalizowanych poza granicami Nowej Soli</w:t>
      </w:r>
      <w:r w:rsidR="00A1115A" w:rsidRPr="00662F03">
        <w:rPr>
          <w:rFonts w:ascii="Calibri" w:hAnsi="Calibri" w:cs="Tahoma"/>
          <w:sz w:val="22"/>
          <w:szCs w:val="22"/>
        </w:rPr>
        <w:t>.</w:t>
      </w:r>
      <w:r w:rsidR="0092716D" w:rsidRPr="00662F03">
        <w:rPr>
          <w:rFonts w:ascii="Calibri" w:hAnsi="Calibri" w:cs="Tahoma"/>
          <w:sz w:val="22"/>
          <w:szCs w:val="22"/>
        </w:rPr>
        <w:t xml:space="preserve"> Główne kierunki do których dociera komunikacja PKS to: Zielona Góra, Kożuchów, Bytom Odrzański, Nowe Miasteczko.</w:t>
      </w:r>
      <w:r w:rsidR="008A2B43">
        <w:rPr>
          <w:rFonts w:ascii="Calibri" w:hAnsi="Calibri" w:cs="Tahoma"/>
          <w:sz w:val="22"/>
          <w:szCs w:val="22"/>
        </w:rPr>
        <w:t xml:space="preserve"> Stan techniczny autobusów komunikacji miejskiej jest zły.</w:t>
      </w:r>
    </w:p>
    <w:p w:rsidR="004717D3" w:rsidRDefault="00523F2B" w:rsidP="004E5A9A">
      <w:pPr>
        <w:shd w:val="clear" w:color="auto" w:fill="FFFFFF"/>
        <w:spacing w:before="150" w:after="75"/>
        <w:jc w:val="both"/>
        <w:outlineLvl w:val="3"/>
        <w:rPr>
          <w:rFonts w:ascii="Calibri" w:hAnsi="Calibri" w:cs="Tahoma"/>
          <w:sz w:val="22"/>
          <w:szCs w:val="22"/>
        </w:rPr>
      </w:pPr>
      <w:r w:rsidRPr="00523F2B">
        <w:rPr>
          <w:rFonts w:ascii="Calibri" w:hAnsi="Calibri" w:cs="Tahoma"/>
          <w:sz w:val="22"/>
          <w:szCs w:val="22"/>
        </w:rPr>
        <w:t xml:space="preserve">Duża liczba mieszkańców </w:t>
      </w:r>
      <w:r w:rsidR="00472665">
        <w:rPr>
          <w:rFonts w:ascii="Calibri" w:hAnsi="Calibri" w:cs="Tahoma"/>
          <w:sz w:val="22"/>
          <w:szCs w:val="22"/>
        </w:rPr>
        <w:t xml:space="preserve">Nowej Soli </w:t>
      </w:r>
      <w:r w:rsidRPr="00523F2B">
        <w:rPr>
          <w:rFonts w:ascii="Calibri" w:hAnsi="Calibri" w:cs="Tahoma"/>
          <w:sz w:val="22"/>
          <w:szCs w:val="22"/>
        </w:rPr>
        <w:t>wykorzystuje rowery jako podstawowy środek transportu do pracy, szkoły czy na zakupy</w:t>
      </w:r>
      <w:r w:rsidR="00472665">
        <w:rPr>
          <w:rFonts w:ascii="Calibri" w:hAnsi="Calibri" w:cs="Tahoma"/>
          <w:sz w:val="22"/>
          <w:szCs w:val="22"/>
        </w:rPr>
        <w:t>, jednak b</w:t>
      </w:r>
      <w:r w:rsidR="00472665" w:rsidRPr="00472665">
        <w:rPr>
          <w:rFonts w:ascii="Calibri" w:hAnsi="Calibri" w:cs="Tahoma"/>
          <w:sz w:val="22"/>
          <w:szCs w:val="22"/>
        </w:rPr>
        <w:t>rak</w:t>
      </w:r>
      <w:r w:rsidR="00472665">
        <w:rPr>
          <w:rFonts w:ascii="Calibri" w:hAnsi="Calibri" w:cs="Tahoma"/>
          <w:sz w:val="22"/>
          <w:szCs w:val="22"/>
        </w:rPr>
        <w:t>uje</w:t>
      </w:r>
      <w:r w:rsidR="00472665" w:rsidRPr="00472665">
        <w:rPr>
          <w:rFonts w:ascii="Calibri" w:hAnsi="Calibri" w:cs="Tahoma"/>
          <w:sz w:val="22"/>
          <w:szCs w:val="22"/>
        </w:rPr>
        <w:t xml:space="preserve"> systemu ścieżek rowerowych</w:t>
      </w:r>
      <w:r w:rsidR="00472665">
        <w:rPr>
          <w:rFonts w:ascii="Calibri" w:hAnsi="Calibri" w:cs="Tahoma"/>
          <w:sz w:val="22"/>
          <w:szCs w:val="22"/>
        </w:rPr>
        <w:t>,</w:t>
      </w:r>
      <w:r w:rsidR="00472665" w:rsidRPr="00472665">
        <w:rPr>
          <w:rFonts w:ascii="Calibri" w:hAnsi="Calibri" w:cs="Tahoma"/>
          <w:sz w:val="22"/>
          <w:szCs w:val="22"/>
        </w:rPr>
        <w:t xml:space="preserve"> zarówno w mieście</w:t>
      </w:r>
      <w:r w:rsidR="00472665">
        <w:rPr>
          <w:rFonts w:ascii="Calibri" w:hAnsi="Calibri" w:cs="Tahoma"/>
          <w:sz w:val="22"/>
          <w:szCs w:val="22"/>
        </w:rPr>
        <w:t>,</w:t>
      </w:r>
      <w:r w:rsidR="00472665" w:rsidRPr="00472665">
        <w:rPr>
          <w:rFonts w:ascii="Calibri" w:hAnsi="Calibri" w:cs="Tahoma"/>
          <w:sz w:val="22"/>
          <w:szCs w:val="22"/>
        </w:rPr>
        <w:t xml:space="preserve"> jak i wyprowadzających ruch rowerowy poza miasto do okolicznych miejscowości</w:t>
      </w:r>
      <w:r w:rsidR="00472665">
        <w:rPr>
          <w:rFonts w:ascii="Calibri" w:hAnsi="Calibri" w:cs="Tahoma"/>
          <w:sz w:val="22"/>
          <w:szCs w:val="22"/>
        </w:rPr>
        <w:t>.</w:t>
      </w:r>
    </w:p>
    <w:p w:rsidR="001417DC" w:rsidRDefault="001417DC" w:rsidP="004E5A9A">
      <w:pPr>
        <w:shd w:val="clear" w:color="auto" w:fill="FFFFFF"/>
        <w:spacing w:before="150" w:after="75"/>
        <w:jc w:val="both"/>
        <w:outlineLvl w:val="3"/>
        <w:rPr>
          <w:rFonts w:ascii="Calibri" w:hAnsi="Calibri" w:cs="Tahoma"/>
          <w:sz w:val="22"/>
          <w:szCs w:val="22"/>
        </w:rPr>
      </w:pPr>
    </w:p>
    <w:p w:rsidR="001417DC" w:rsidRPr="00662F03" w:rsidRDefault="001417DC" w:rsidP="004E5A9A">
      <w:pPr>
        <w:shd w:val="clear" w:color="auto" w:fill="FFFFFF"/>
        <w:spacing w:before="150" w:after="75"/>
        <w:jc w:val="both"/>
        <w:outlineLvl w:val="3"/>
        <w:rPr>
          <w:rFonts w:ascii="Calibri" w:hAnsi="Calibri" w:cs="Tahoma"/>
          <w:sz w:val="22"/>
          <w:szCs w:val="22"/>
        </w:rPr>
      </w:pPr>
    </w:p>
    <w:p w:rsidR="004717D3" w:rsidRPr="00662F03" w:rsidRDefault="005433B6" w:rsidP="004E5A9A">
      <w:pPr>
        <w:shd w:val="clear" w:color="auto" w:fill="FFFFFF"/>
        <w:spacing w:before="150" w:after="75"/>
        <w:jc w:val="both"/>
        <w:outlineLvl w:val="3"/>
        <w:rPr>
          <w:rFonts w:ascii="Calibri" w:hAnsi="Calibri"/>
        </w:rPr>
      </w:pPr>
      <w:r>
        <w:rPr>
          <w:rFonts w:ascii="Calibri" w:hAnsi="Calibri"/>
        </w:rPr>
      </w:r>
      <w:r w:rsidR="00072369">
        <w:rPr>
          <w:rFonts w:ascii="Calibri" w:hAnsi="Calibri"/>
        </w:rPr>
        <w:pict>
          <v:roundrect id="_x0000_s1047"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47;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3F7EC2" w:rsidRPr="00DD0FC9" w:rsidRDefault="003F7EC2" w:rsidP="00B62B77">
      <w:pPr>
        <w:shd w:val="clear" w:color="auto" w:fill="FFFFFF"/>
        <w:spacing w:before="150" w:after="75"/>
        <w:jc w:val="both"/>
        <w:outlineLvl w:val="3"/>
        <w:rPr>
          <w:rFonts w:ascii="Calibri" w:hAnsi="Calibri" w:cs="Tahoma"/>
          <w:shadow/>
          <w:color w:val="808080"/>
          <w:sz w:val="22"/>
        </w:rPr>
      </w:pPr>
      <w:r w:rsidRPr="00DD0FC9">
        <w:rPr>
          <w:rFonts w:ascii="Calibri" w:hAnsi="Calibri" w:cs="Tahoma"/>
          <w:shadow/>
          <w:color w:val="808080"/>
          <w:sz w:val="22"/>
        </w:rPr>
        <w:t xml:space="preserve">Mieszkańcy twierdzą, że ulice miejskie są w złym stanie technicznym. Tego zdania jest aż 72% (ocena ważona) mieszkańców. Zdecydowanie częściej twierdzą tak mężczyźni niż kobiety. Zadowolenie ze stanu technicznego ulic miejskich rośnie wraz z wiekiem i spada wraz ze wzrostem wykształcenia. Tylko w jednej grupie respondentów częściej twierdzi się (zaledwie o 1 punkt procentowy), że ulice są w dobrym niż w złym stanie technicznym. To osoby starsze w wieku 60 </w:t>
      </w:r>
      <w:r w:rsidR="002A44DF" w:rsidRPr="00DD0FC9">
        <w:rPr>
          <w:rFonts w:ascii="Calibri" w:hAnsi="Calibri" w:cs="Tahoma"/>
          <w:shadow/>
          <w:color w:val="808080"/>
          <w:sz w:val="22"/>
        </w:rPr>
        <w:t xml:space="preserve">lat </w:t>
      </w:r>
      <w:r w:rsidRPr="00DD0FC9">
        <w:rPr>
          <w:rFonts w:ascii="Calibri" w:hAnsi="Calibri" w:cs="Tahoma"/>
          <w:shadow/>
          <w:color w:val="808080"/>
          <w:sz w:val="22"/>
        </w:rPr>
        <w:t>i powyżej. Waga tego kryterium w ocenie atrakcyjności miasta jako miejsca zamieszkania jest poniżej średniej dla wszystkich kryteriów, choć zbliża się do jej wartości.</w:t>
      </w:r>
    </w:p>
    <w:p w:rsidR="003F7EC2" w:rsidRPr="00DD0FC9" w:rsidRDefault="003F7EC2" w:rsidP="00B62B77">
      <w:pPr>
        <w:shd w:val="clear" w:color="auto" w:fill="FFFFFF"/>
        <w:spacing w:before="150" w:after="75"/>
        <w:jc w:val="both"/>
        <w:outlineLvl w:val="3"/>
        <w:rPr>
          <w:rFonts w:ascii="Calibri" w:hAnsi="Calibri" w:cs="Tahoma"/>
          <w:shadow/>
          <w:color w:val="808080"/>
          <w:sz w:val="22"/>
        </w:rPr>
      </w:pPr>
      <w:r w:rsidRPr="00DD0FC9">
        <w:rPr>
          <w:rFonts w:ascii="Calibri" w:hAnsi="Calibri" w:cs="Tahoma"/>
          <w:b/>
          <w:shadow/>
          <w:color w:val="808080"/>
          <w:sz w:val="22"/>
        </w:rPr>
        <w:t>Wnioski:</w:t>
      </w:r>
      <w:r w:rsidRPr="00DD0FC9">
        <w:rPr>
          <w:rFonts w:ascii="Calibri" w:hAnsi="Calibri" w:cs="Tahoma"/>
          <w:shadow/>
          <w:color w:val="808080"/>
          <w:sz w:val="22"/>
        </w:rPr>
        <w:t xml:space="preserve"> Stan techniczny ulic miasta to w ocenie jego mieszkańców zdecydowanie słaba strona. Jest to umiarkowanie ważny czynnik atrakcyjności miasta jako miejsca zamieszkania. W ramach strategii należy przewidzieć dalszą poprawę stanu technicznego ulic, choć nie powinny to być działania traktowane z najwyższym priorytetem. Mieszkańcy miasta zauważają, że remontowanych jest wiele</w:t>
      </w:r>
      <w:r w:rsidR="002A44DF" w:rsidRPr="00DD0FC9">
        <w:rPr>
          <w:rFonts w:ascii="Calibri" w:hAnsi="Calibri" w:cs="Tahoma"/>
          <w:shadow/>
          <w:color w:val="808080"/>
          <w:sz w:val="22"/>
        </w:rPr>
        <w:t xml:space="preserve"> ulic</w:t>
      </w:r>
      <w:r w:rsidRPr="00DD0FC9">
        <w:rPr>
          <w:rFonts w:ascii="Calibri" w:hAnsi="Calibri" w:cs="Tahoma"/>
          <w:shadow/>
          <w:color w:val="808080"/>
          <w:sz w:val="22"/>
        </w:rPr>
        <w:t>, choć bardziej traktują to jako uciążliwość niż perspektywę poprawy jakości życia.</w:t>
      </w:r>
    </w:p>
    <w:p w:rsidR="00B62B77" w:rsidRPr="00926EA5" w:rsidRDefault="002A44DF" w:rsidP="00926EA5">
      <w:pPr>
        <w:pStyle w:val="Legenda"/>
        <w:jc w:val="both"/>
        <w:rPr>
          <w:rFonts w:ascii="Calibri" w:hAnsi="Calibri" w:cs="Tahoma"/>
          <w:b w:val="0"/>
          <w:shadow/>
          <w:color w:val="808080"/>
          <w:szCs w:val="22"/>
        </w:rPr>
      </w:pPr>
      <w:bookmarkStart w:id="41" w:name="_Toc315790494"/>
      <w:r w:rsidRPr="00926EA5">
        <w:rPr>
          <w:rFonts w:ascii="Calibri" w:hAnsi="Calibri"/>
          <w:b w:val="0"/>
          <w:sz w:val="18"/>
        </w:rPr>
        <w:lastRenderedPageBreak/>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25</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Rozkład odpowiedzi na pytanie, czy mieszkańcy zgadzają się z twierdzeniem, że w mieście ulice są w dobrym stanie technicznym.</w:t>
      </w:r>
      <w:bookmarkEnd w:id="41"/>
    </w:p>
    <w:p w:rsidR="003F7EC2" w:rsidRPr="00662F03" w:rsidRDefault="005B1628" w:rsidP="00DD0FC9">
      <w:pPr>
        <w:jc w:val="center"/>
        <w:rPr>
          <w:rFonts w:ascii="Calibri" w:hAnsi="Calibri"/>
        </w:rPr>
      </w:pPr>
      <w:r>
        <w:rPr>
          <w:rFonts w:ascii="Calibri" w:hAnsi="Calibri"/>
          <w:noProof/>
        </w:rPr>
        <w:drawing>
          <wp:inline distT="0" distB="0" distL="0" distR="0">
            <wp:extent cx="4960797" cy="2811913"/>
            <wp:effectExtent l="19050" t="0" r="11253" b="7487"/>
            <wp:docPr id="3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A44DF" w:rsidRPr="00926EA5" w:rsidRDefault="002A44DF" w:rsidP="002A44DF">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2A44DF" w:rsidRPr="00926EA5" w:rsidRDefault="002A44DF" w:rsidP="00926EA5">
      <w:pPr>
        <w:pStyle w:val="Legenda"/>
        <w:jc w:val="both"/>
        <w:rPr>
          <w:rFonts w:ascii="Calibri" w:hAnsi="Calibri"/>
          <w:b w:val="0"/>
          <w:sz w:val="18"/>
        </w:rPr>
      </w:pPr>
      <w:bookmarkStart w:id="42" w:name="_Toc315790495"/>
      <w:r w:rsidRPr="00926EA5">
        <w:rPr>
          <w:rFonts w:ascii="Calibri" w:hAnsi="Calibri"/>
          <w:b w:val="0"/>
          <w:sz w:val="18"/>
        </w:rPr>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26</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Średnia oceny, czy stan techniczny ulic ma znaczenie w atrakcyjności miasta jako miejsca zamieszkania.</w:t>
      </w:r>
      <w:bookmarkEnd w:id="42"/>
    </w:p>
    <w:p w:rsidR="003F7EC2" w:rsidRPr="00662F03" w:rsidRDefault="005B1628" w:rsidP="00DD0FC9">
      <w:pPr>
        <w:jc w:val="center"/>
        <w:rPr>
          <w:rFonts w:ascii="Calibri" w:hAnsi="Calibri"/>
        </w:rPr>
      </w:pPr>
      <w:r>
        <w:rPr>
          <w:rFonts w:ascii="Calibri" w:hAnsi="Calibri"/>
          <w:noProof/>
        </w:rPr>
        <w:drawing>
          <wp:inline distT="0" distB="0" distL="0" distR="0">
            <wp:extent cx="5040759" cy="2853779"/>
            <wp:effectExtent l="19050" t="0" r="26541" b="3721"/>
            <wp:docPr id="35" name="Wykres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A44DF" w:rsidRPr="00926EA5" w:rsidRDefault="002A44DF" w:rsidP="002A44DF">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3F7EC2" w:rsidRPr="00DD0FC9" w:rsidRDefault="003F7EC2" w:rsidP="004D5193">
      <w:pPr>
        <w:jc w:val="both"/>
        <w:rPr>
          <w:rFonts w:ascii="Calibri" w:hAnsi="Calibri"/>
          <w:sz w:val="22"/>
        </w:rPr>
      </w:pPr>
    </w:p>
    <w:p w:rsidR="00B62B77" w:rsidRPr="00DD0FC9" w:rsidRDefault="00B62B77" w:rsidP="00B62B77">
      <w:pPr>
        <w:shd w:val="clear" w:color="auto" w:fill="FFFFFF"/>
        <w:spacing w:after="75"/>
        <w:jc w:val="both"/>
        <w:outlineLvl w:val="3"/>
        <w:rPr>
          <w:rFonts w:ascii="Calibri" w:hAnsi="Calibri" w:cs="Tahoma"/>
          <w:shadow/>
          <w:color w:val="808080"/>
          <w:sz w:val="22"/>
        </w:rPr>
      </w:pPr>
      <w:r w:rsidRPr="00DD0FC9">
        <w:rPr>
          <w:rFonts w:ascii="Calibri" w:hAnsi="Calibri" w:cs="Tahoma"/>
          <w:shadow/>
          <w:color w:val="808080"/>
          <w:sz w:val="22"/>
        </w:rPr>
        <w:t>Mieszkańcy, choć niezadowoleni w większości ze stanu technicznego ulic, twierdzą, że w mieście nie ma korków ulicznych. Tego zdania jest aż 62% (ocena ważona) mieszkańców. Zdecydowanie częściej twierdzą tak kobiety niż mężczyźni oraz osoby z niższym wykształceniem. Wśród osób z wyższym wykształceniem więcej jest niezadowolonych z sytuacji na ulicach. Podobnie jest wśród osób w wieku 30-39 lat. Waga tego kryterium w ocenie atrakcyjności miasta jako miejsca zamieszkania jest poniżej średniej dla wszystkich kryteriów i spada wraz z wykształceniem oraz wiekiem.</w:t>
      </w:r>
    </w:p>
    <w:p w:rsidR="00B62B77" w:rsidRDefault="00B62B77" w:rsidP="00B62B77">
      <w:pPr>
        <w:shd w:val="clear" w:color="auto" w:fill="FFFFFF"/>
        <w:spacing w:before="150" w:after="75"/>
        <w:jc w:val="both"/>
        <w:outlineLvl w:val="3"/>
        <w:rPr>
          <w:rFonts w:ascii="Calibri" w:hAnsi="Calibri" w:cs="Tahoma"/>
          <w:shadow/>
          <w:color w:val="808080"/>
          <w:sz w:val="22"/>
        </w:rPr>
      </w:pPr>
      <w:r w:rsidRPr="00DD0FC9">
        <w:rPr>
          <w:rFonts w:ascii="Calibri" w:hAnsi="Calibri" w:cs="Tahoma"/>
          <w:b/>
          <w:shadow/>
          <w:color w:val="808080"/>
          <w:sz w:val="22"/>
        </w:rPr>
        <w:t>Wnioski:</w:t>
      </w:r>
      <w:r w:rsidRPr="00DD0FC9">
        <w:rPr>
          <w:rFonts w:ascii="Calibri" w:hAnsi="Calibri" w:cs="Tahoma"/>
          <w:shadow/>
          <w:color w:val="808080"/>
          <w:sz w:val="22"/>
        </w:rPr>
        <w:t xml:space="preserve"> Korki uliczne w ocenie jego mieszkańców nie należą do problemów. Nie jest to też ważny czynnik atrakcyjności miasta jako miejsca zamieszkania. W ramach strategii należy przewidzieć utrzymanie stanu na przynajmniej takim poziomie, jak obecnie.</w:t>
      </w:r>
    </w:p>
    <w:p w:rsidR="001417DC" w:rsidRDefault="001417DC">
      <w:pPr>
        <w:rPr>
          <w:rFonts w:ascii="Calibri" w:hAnsi="Calibri" w:cs="Tahoma"/>
          <w:shadow/>
          <w:color w:val="808080"/>
          <w:sz w:val="22"/>
        </w:rPr>
      </w:pPr>
      <w:bookmarkStart w:id="43" w:name="_Toc315790496"/>
      <w:r>
        <w:rPr>
          <w:rFonts w:ascii="Calibri" w:hAnsi="Calibri" w:cs="Tahoma"/>
          <w:b/>
          <w:bCs/>
          <w:shadow/>
          <w:color w:val="808080"/>
          <w:sz w:val="22"/>
        </w:rPr>
        <w:br w:type="page"/>
      </w:r>
    </w:p>
    <w:p w:rsidR="002A44DF" w:rsidRPr="00926EA5" w:rsidRDefault="002A44DF" w:rsidP="00926EA5">
      <w:pPr>
        <w:pStyle w:val="Legenda"/>
        <w:jc w:val="both"/>
        <w:rPr>
          <w:rFonts w:ascii="Calibri" w:hAnsi="Calibri" w:cs="Tahoma"/>
          <w:b w:val="0"/>
          <w:shadow/>
          <w:color w:val="808080"/>
          <w:sz w:val="18"/>
        </w:rPr>
      </w:pPr>
      <w:r w:rsidRPr="00926EA5">
        <w:rPr>
          <w:rFonts w:ascii="Calibri" w:hAnsi="Calibri"/>
          <w:b w:val="0"/>
          <w:sz w:val="18"/>
        </w:rPr>
        <w:lastRenderedPageBreak/>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27</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Rozkład odpowiedzi na pytanie, czy mieszkańcy zgadzają się z twierdzeniem, że w mieście jest mało korków ulicznych i można się szybko przemieszczać.</w:t>
      </w:r>
      <w:bookmarkEnd w:id="43"/>
    </w:p>
    <w:p w:rsidR="00B62B77" w:rsidRPr="00662F03" w:rsidRDefault="005B1628" w:rsidP="008E3983">
      <w:pPr>
        <w:jc w:val="center"/>
        <w:rPr>
          <w:rFonts w:ascii="Calibri" w:hAnsi="Calibri"/>
        </w:rPr>
      </w:pPr>
      <w:r>
        <w:rPr>
          <w:rFonts w:ascii="Calibri" w:hAnsi="Calibri"/>
          <w:noProof/>
        </w:rPr>
        <w:drawing>
          <wp:inline distT="0" distB="0" distL="0" distR="0">
            <wp:extent cx="5002287" cy="2939034"/>
            <wp:effectExtent l="19050" t="0" r="26913" b="0"/>
            <wp:docPr id="36"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A44DF" w:rsidRPr="00926EA5" w:rsidRDefault="002A44DF" w:rsidP="002A44DF">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1417DC" w:rsidRDefault="001417DC" w:rsidP="002A44DF">
      <w:pPr>
        <w:pStyle w:val="Legenda"/>
        <w:rPr>
          <w:rFonts w:ascii="Calibri" w:hAnsi="Calibri"/>
          <w:b w:val="0"/>
          <w:sz w:val="18"/>
        </w:rPr>
      </w:pPr>
      <w:bookmarkStart w:id="44" w:name="_Toc315790497"/>
    </w:p>
    <w:p w:rsidR="002A44DF" w:rsidRPr="00926EA5" w:rsidRDefault="002A44DF" w:rsidP="002A44DF">
      <w:pPr>
        <w:pStyle w:val="Legenda"/>
        <w:rPr>
          <w:rFonts w:ascii="Calibri" w:hAnsi="Calibri"/>
          <w:b w:val="0"/>
          <w:sz w:val="18"/>
        </w:rPr>
      </w:pPr>
      <w:r w:rsidRPr="00926EA5">
        <w:rPr>
          <w:rFonts w:ascii="Calibri" w:hAnsi="Calibri"/>
          <w:b w:val="0"/>
          <w:sz w:val="18"/>
        </w:rPr>
        <w:t xml:space="preserve">Wykres </w:t>
      </w:r>
      <w:r w:rsidR="005433B6" w:rsidRPr="00926EA5">
        <w:rPr>
          <w:rFonts w:ascii="Calibri" w:hAnsi="Calibri"/>
          <w:b w:val="0"/>
          <w:sz w:val="18"/>
        </w:rPr>
        <w:fldChar w:fldCharType="begin"/>
      </w:r>
      <w:r w:rsidRPr="00926EA5">
        <w:rPr>
          <w:rFonts w:ascii="Calibri" w:hAnsi="Calibri"/>
          <w:b w:val="0"/>
          <w:sz w:val="18"/>
        </w:rPr>
        <w:instrText xml:space="preserve"> SEQ Wykres \* ARABIC </w:instrText>
      </w:r>
      <w:r w:rsidR="005433B6" w:rsidRPr="00926EA5">
        <w:rPr>
          <w:rFonts w:ascii="Calibri" w:hAnsi="Calibri"/>
          <w:b w:val="0"/>
          <w:sz w:val="18"/>
        </w:rPr>
        <w:fldChar w:fldCharType="separate"/>
      </w:r>
      <w:r w:rsidR="00D377D1" w:rsidRPr="00926EA5">
        <w:rPr>
          <w:rFonts w:ascii="Calibri" w:hAnsi="Calibri"/>
          <w:b w:val="0"/>
          <w:noProof/>
          <w:sz w:val="18"/>
        </w:rPr>
        <w:t>28</w:t>
      </w:r>
      <w:r w:rsidR="005433B6" w:rsidRPr="00926EA5">
        <w:rPr>
          <w:rFonts w:ascii="Calibri" w:hAnsi="Calibri"/>
          <w:b w:val="0"/>
          <w:sz w:val="18"/>
        </w:rPr>
        <w:fldChar w:fldCharType="end"/>
      </w:r>
      <w:r w:rsidRPr="00926EA5">
        <w:rPr>
          <w:rFonts w:ascii="Calibri" w:hAnsi="Calibri"/>
          <w:b w:val="0"/>
          <w:sz w:val="18"/>
        </w:rPr>
        <w:t>.</w:t>
      </w:r>
      <w:r w:rsidR="00926EA5" w:rsidRPr="00926EA5">
        <w:rPr>
          <w:sz w:val="18"/>
        </w:rPr>
        <w:t xml:space="preserve"> </w:t>
      </w:r>
      <w:r w:rsidR="00926EA5" w:rsidRPr="00926EA5">
        <w:rPr>
          <w:rFonts w:ascii="Calibri" w:hAnsi="Calibri"/>
          <w:b w:val="0"/>
          <w:sz w:val="18"/>
        </w:rPr>
        <w:t>Średnia oceny, czy korki uliczne mają znaczenie w atrakcyjności miasta jako miejsca zamieszkania.</w:t>
      </w:r>
      <w:bookmarkEnd w:id="44"/>
    </w:p>
    <w:p w:rsidR="00B62B77" w:rsidRPr="00662F03" w:rsidRDefault="005B1628" w:rsidP="008E3983">
      <w:pPr>
        <w:jc w:val="center"/>
        <w:rPr>
          <w:rFonts w:ascii="Calibri" w:hAnsi="Calibri"/>
        </w:rPr>
      </w:pPr>
      <w:r>
        <w:rPr>
          <w:rFonts w:ascii="Calibri" w:hAnsi="Calibri"/>
          <w:noProof/>
        </w:rPr>
        <w:drawing>
          <wp:inline distT="0" distB="0" distL="0" distR="0">
            <wp:extent cx="4895822" cy="2918271"/>
            <wp:effectExtent l="19050" t="0" r="19078" b="0"/>
            <wp:docPr id="37"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A44DF" w:rsidRPr="00926EA5" w:rsidRDefault="002A44DF" w:rsidP="002A44DF">
      <w:pPr>
        <w:jc w:val="both"/>
        <w:rPr>
          <w:rFonts w:ascii="Calibri" w:hAnsi="Calibri" w:cs="Calibri"/>
          <w:noProof/>
          <w:sz w:val="18"/>
          <w:szCs w:val="20"/>
        </w:rPr>
      </w:pPr>
      <w:r w:rsidRPr="00926EA5">
        <w:rPr>
          <w:rFonts w:ascii="Calibri" w:hAnsi="Calibri" w:cs="Calibri"/>
          <w:noProof/>
          <w:sz w:val="18"/>
          <w:szCs w:val="20"/>
        </w:rPr>
        <w:t>Źródło: opracowanie własne na podstawie wyników badań ankietowych.</w:t>
      </w:r>
    </w:p>
    <w:p w:rsidR="00B62B77" w:rsidRPr="008E3983" w:rsidRDefault="00B62B77" w:rsidP="00B62B77">
      <w:pPr>
        <w:shd w:val="clear" w:color="auto" w:fill="FFFFFF"/>
        <w:spacing w:before="150" w:after="75"/>
        <w:jc w:val="both"/>
        <w:outlineLvl w:val="3"/>
        <w:rPr>
          <w:rFonts w:ascii="Calibri" w:hAnsi="Calibri" w:cs="Tahoma"/>
          <w:shadow/>
          <w:color w:val="808080"/>
          <w:sz w:val="22"/>
        </w:rPr>
      </w:pPr>
      <w:r w:rsidRPr="008E3983">
        <w:rPr>
          <w:rFonts w:ascii="Calibri" w:hAnsi="Calibri" w:cs="Tahoma"/>
          <w:shadow/>
          <w:color w:val="808080"/>
          <w:sz w:val="22"/>
        </w:rPr>
        <w:t>Mieszkańcy twierdzą, że z miasta łatwo dostać się do innych dużych miast. Twierdzi tak w ocenie ważonej aż 90% mieszkańców. Najmniej są tym przekonane osoby z wyższym wykształceniem, najbardziej mieszkańcy z wykształceniem zasadniczym zawodowym i poniżej oraz reprezentanci najstarszej grupy wiekowej. Płeć nie wpływa na ocenę w tym zakresie. Skomunikowanie z innymi dużymi miastami jest oceniane jako ważne kryterium jakości życia. Ocena kryterium maleje wraz z wiekiem i poziomem wykształcenia.</w:t>
      </w:r>
    </w:p>
    <w:p w:rsidR="00B62B77" w:rsidRDefault="00B62B77" w:rsidP="00B62B77">
      <w:pPr>
        <w:shd w:val="clear" w:color="auto" w:fill="FFFFFF"/>
        <w:spacing w:before="150" w:after="75"/>
        <w:jc w:val="both"/>
        <w:outlineLvl w:val="3"/>
        <w:rPr>
          <w:rFonts w:ascii="Calibri" w:hAnsi="Calibri" w:cs="Tahoma"/>
          <w:shadow/>
          <w:color w:val="808080"/>
          <w:sz w:val="22"/>
        </w:rPr>
      </w:pPr>
      <w:r w:rsidRPr="008E3983">
        <w:rPr>
          <w:rFonts w:ascii="Calibri" w:hAnsi="Calibri" w:cs="Tahoma"/>
          <w:b/>
          <w:shadow/>
          <w:color w:val="808080"/>
          <w:sz w:val="22"/>
        </w:rPr>
        <w:t>Wnioski:</w:t>
      </w:r>
      <w:r w:rsidRPr="008E3983">
        <w:rPr>
          <w:rFonts w:ascii="Calibri" w:hAnsi="Calibri" w:cs="Tahoma"/>
          <w:shadow/>
          <w:color w:val="808080"/>
          <w:sz w:val="22"/>
        </w:rPr>
        <w:t xml:space="preserve"> Skomunikowanie miasta jest oceniane jako mocna strona. Jest to dla mieszkańców ważne kryterium oceny, czy warto tu mieszkać. Działania zaplanowane w ramach strategii powinny zmierzać do wykorzystania tego faktu jako szansy rozwoju. Stan po</w:t>
      </w:r>
      <w:r w:rsidR="00FE393D">
        <w:rPr>
          <w:rFonts w:ascii="Calibri" w:hAnsi="Calibri" w:cs="Tahoma"/>
          <w:shadow/>
          <w:color w:val="808080"/>
          <w:sz w:val="22"/>
        </w:rPr>
        <w:t>winien ulegać dalszej poprawie.</w:t>
      </w:r>
    </w:p>
    <w:p w:rsidR="001417DC" w:rsidRDefault="001417DC">
      <w:pPr>
        <w:rPr>
          <w:rFonts w:ascii="Calibri" w:hAnsi="Calibri" w:cs="Tahoma"/>
          <w:shadow/>
          <w:color w:val="808080"/>
          <w:sz w:val="22"/>
        </w:rPr>
      </w:pPr>
      <w:bookmarkStart w:id="45" w:name="_Toc315790498"/>
      <w:r>
        <w:rPr>
          <w:rFonts w:ascii="Calibri" w:hAnsi="Calibri" w:cs="Tahoma"/>
          <w:b/>
          <w:bCs/>
          <w:shadow/>
          <w:color w:val="808080"/>
          <w:sz w:val="22"/>
        </w:rPr>
        <w:br w:type="page"/>
      </w:r>
    </w:p>
    <w:p w:rsidR="00B62B77" w:rsidRPr="00123EB4" w:rsidRDefault="002A44DF" w:rsidP="00123EB4">
      <w:pPr>
        <w:pStyle w:val="Legenda"/>
        <w:jc w:val="both"/>
        <w:rPr>
          <w:rFonts w:ascii="Calibri" w:hAnsi="Calibri" w:cs="Tahoma"/>
          <w:b w:val="0"/>
          <w:shadow/>
          <w:color w:val="808080"/>
          <w:szCs w:val="22"/>
        </w:rPr>
      </w:pPr>
      <w:r w:rsidRPr="00123EB4">
        <w:rPr>
          <w:rFonts w:ascii="Calibri" w:hAnsi="Calibri"/>
          <w:b w:val="0"/>
          <w:sz w:val="18"/>
        </w:rPr>
        <w:lastRenderedPageBreak/>
        <w:t xml:space="preserve">Wykres </w:t>
      </w:r>
      <w:r w:rsidR="005433B6" w:rsidRPr="00123EB4">
        <w:rPr>
          <w:rFonts w:ascii="Calibri" w:hAnsi="Calibri"/>
          <w:b w:val="0"/>
          <w:sz w:val="18"/>
        </w:rPr>
        <w:fldChar w:fldCharType="begin"/>
      </w:r>
      <w:r w:rsidRPr="00123EB4">
        <w:rPr>
          <w:rFonts w:ascii="Calibri" w:hAnsi="Calibri"/>
          <w:b w:val="0"/>
          <w:sz w:val="18"/>
        </w:rPr>
        <w:instrText xml:space="preserve"> SEQ Wykres \* ARABIC </w:instrText>
      </w:r>
      <w:r w:rsidR="005433B6" w:rsidRPr="00123EB4">
        <w:rPr>
          <w:rFonts w:ascii="Calibri" w:hAnsi="Calibri"/>
          <w:b w:val="0"/>
          <w:sz w:val="18"/>
        </w:rPr>
        <w:fldChar w:fldCharType="separate"/>
      </w:r>
      <w:r w:rsidR="00D377D1" w:rsidRPr="00123EB4">
        <w:rPr>
          <w:rFonts w:ascii="Calibri" w:hAnsi="Calibri"/>
          <w:b w:val="0"/>
          <w:noProof/>
          <w:sz w:val="18"/>
        </w:rPr>
        <w:t>29</w:t>
      </w:r>
      <w:r w:rsidR="005433B6" w:rsidRPr="00123EB4">
        <w:rPr>
          <w:rFonts w:ascii="Calibri" w:hAnsi="Calibri"/>
          <w:b w:val="0"/>
          <w:sz w:val="18"/>
        </w:rPr>
        <w:fldChar w:fldCharType="end"/>
      </w:r>
      <w:r w:rsidRPr="00123EB4">
        <w:rPr>
          <w:rFonts w:ascii="Calibri" w:hAnsi="Calibri"/>
          <w:b w:val="0"/>
          <w:sz w:val="18"/>
        </w:rPr>
        <w:t>.</w:t>
      </w:r>
      <w:r w:rsidR="00123EB4" w:rsidRPr="00123EB4">
        <w:rPr>
          <w:sz w:val="18"/>
        </w:rPr>
        <w:t xml:space="preserve"> </w:t>
      </w:r>
      <w:r w:rsidR="00123EB4" w:rsidRPr="00123EB4">
        <w:rPr>
          <w:rFonts w:ascii="Calibri" w:hAnsi="Calibri"/>
          <w:b w:val="0"/>
          <w:sz w:val="18"/>
        </w:rPr>
        <w:t>Rozkład odpowiedzi na pytanie, czy mieszkańcy zgadzają się z twierdzeniem, że z miasta łatwo jest dostać się do innych dużych miast.</w:t>
      </w:r>
      <w:bookmarkEnd w:id="45"/>
    </w:p>
    <w:p w:rsidR="00B62B77" w:rsidRPr="00662F03" w:rsidRDefault="005B1628" w:rsidP="008E3983">
      <w:pPr>
        <w:jc w:val="center"/>
        <w:rPr>
          <w:rFonts w:ascii="Calibri" w:hAnsi="Calibri"/>
        </w:rPr>
      </w:pPr>
      <w:r>
        <w:rPr>
          <w:rFonts w:ascii="Calibri" w:hAnsi="Calibri"/>
          <w:noProof/>
        </w:rPr>
        <w:drawing>
          <wp:inline distT="0" distB="0" distL="0" distR="0">
            <wp:extent cx="4856687" cy="2743200"/>
            <wp:effectExtent l="19050" t="0" r="20113" b="0"/>
            <wp:docPr id="38" name="Wykres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A44DF" w:rsidRPr="00123EB4" w:rsidRDefault="002A44DF" w:rsidP="002A44DF">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1417DC" w:rsidRDefault="001417DC" w:rsidP="002A44DF">
      <w:pPr>
        <w:pStyle w:val="Legenda"/>
        <w:rPr>
          <w:rFonts w:ascii="Calibri" w:hAnsi="Calibri"/>
          <w:b w:val="0"/>
          <w:sz w:val="18"/>
        </w:rPr>
      </w:pPr>
      <w:bookmarkStart w:id="46" w:name="_Toc315790499"/>
    </w:p>
    <w:p w:rsidR="002A44DF" w:rsidRPr="00123EB4" w:rsidRDefault="002A44DF" w:rsidP="002A44DF">
      <w:pPr>
        <w:pStyle w:val="Legenda"/>
        <w:rPr>
          <w:rFonts w:ascii="Calibri" w:hAnsi="Calibri"/>
          <w:b w:val="0"/>
          <w:sz w:val="18"/>
        </w:rPr>
      </w:pPr>
      <w:r w:rsidRPr="00123EB4">
        <w:rPr>
          <w:rFonts w:ascii="Calibri" w:hAnsi="Calibri"/>
          <w:b w:val="0"/>
          <w:sz w:val="18"/>
        </w:rPr>
        <w:t xml:space="preserve">Wykres </w:t>
      </w:r>
      <w:r w:rsidR="005433B6" w:rsidRPr="00123EB4">
        <w:rPr>
          <w:rFonts w:ascii="Calibri" w:hAnsi="Calibri"/>
          <w:b w:val="0"/>
          <w:sz w:val="18"/>
        </w:rPr>
        <w:fldChar w:fldCharType="begin"/>
      </w:r>
      <w:r w:rsidRPr="00123EB4">
        <w:rPr>
          <w:rFonts w:ascii="Calibri" w:hAnsi="Calibri"/>
          <w:b w:val="0"/>
          <w:sz w:val="18"/>
        </w:rPr>
        <w:instrText xml:space="preserve"> SEQ Wykres \* ARABIC </w:instrText>
      </w:r>
      <w:r w:rsidR="005433B6" w:rsidRPr="00123EB4">
        <w:rPr>
          <w:rFonts w:ascii="Calibri" w:hAnsi="Calibri"/>
          <w:b w:val="0"/>
          <w:sz w:val="18"/>
        </w:rPr>
        <w:fldChar w:fldCharType="separate"/>
      </w:r>
      <w:r w:rsidR="00D377D1" w:rsidRPr="00123EB4">
        <w:rPr>
          <w:rFonts w:ascii="Calibri" w:hAnsi="Calibri"/>
          <w:b w:val="0"/>
          <w:noProof/>
          <w:sz w:val="18"/>
        </w:rPr>
        <w:t>30</w:t>
      </w:r>
      <w:r w:rsidR="005433B6" w:rsidRPr="00123EB4">
        <w:rPr>
          <w:rFonts w:ascii="Calibri" w:hAnsi="Calibri"/>
          <w:b w:val="0"/>
          <w:sz w:val="18"/>
        </w:rPr>
        <w:fldChar w:fldCharType="end"/>
      </w:r>
      <w:r w:rsidRPr="00123EB4">
        <w:rPr>
          <w:rFonts w:ascii="Calibri" w:hAnsi="Calibri"/>
          <w:b w:val="0"/>
          <w:sz w:val="18"/>
        </w:rPr>
        <w:t>.</w:t>
      </w:r>
      <w:r w:rsidR="00123EB4" w:rsidRPr="00123EB4">
        <w:rPr>
          <w:sz w:val="18"/>
        </w:rPr>
        <w:t xml:space="preserve"> </w:t>
      </w:r>
      <w:r w:rsidR="00123EB4" w:rsidRPr="00123EB4">
        <w:rPr>
          <w:rFonts w:ascii="Calibri" w:hAnsi="Calibri"/>
          <w:b w:val="0"/>
          <w:sz w:val="18"/>
        </w:rPr>
        <w:t>Średnia oceny, czy skomunikowanie z innymi dużymi miastami ma znaczenie w atrakcyjności miasta jako miejsca zamieszkania.</w:t>
      </w:r>
      <w:bookmarkEnd w:id="46"/>
    </w:p>
    <w:p w:rsidR="00B62B77" w:rsidRPr="00662F03" w:rsidRDefault="005B1628" w:rsidP="008E3983">
      <w:pPr>
        <w:jc w:val="center"/>
        <w:rPr>
          <w:rFonts w:ascii="Calibri" w:hAnsi="Calibri"/>
        </w:rPr>
      </w:pPr>
      <w:r>
        <w:rPr>
          <w:rFonts w:ascii="Calibri" w:hAnsi="Calibri"/>
          <w:noProof/>
        </w:rPr>
        <w:drawing>
          <wp:inline distT="0" distB="0" distL="0" distR="0">
            <wp:extent cx="4749091" cy="2615610"/>
            <wp:effectExtent l="19050" t="0" r="13409" b="0"/>
            <wp:docPr id="39" name="Wykres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A44DF" w:rsidRPr="00123EB4" w:rsidRDefault="002A44DF" w:rsidP="002A44DF">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B62B77" w:rsidRPr="008E3983" w:rsidRDefault="00B62B77" w:rsidP="00B62B77">
      <w:pPr>
        <w:shd w:val="clear" w:color="auto" w:fill="FFFFFF"/>
        <w:spacing w:before="150" w:after="75"/>
        <w:jc w:val="both"/>
        <w:outlineLvl w:val="3"/>
        <w:rPr>
          <w:rFonts w:ascii="Calibri" w:hAnsi="Calibri" w:cs="Tahoma"/>
          <w:shadow/>
          <w:color w:val="808080"/>
          <w:sz w:val="22"/>
        </w:rPr>
      </w:pPr>
      <w:r w:rsidRPr="008E3983">
        <w:rPr>
          <w:rFonts w:ascii="Calibri" w:hAnsi="Calibri" w:cs="Tahoma"/>
          <w:shadow/>
          <w:color w:val="808080"/>
          <w:sz w:val="22"/>
        </w:rPr>
        <w:t>Mieszkańcy twierdzą, że w mieście komunikacja autobusowa jest dobrze rozwinięta, tzn. można łatwo dotrzeć do wielu miejsc na terenie miasta. Twierdzi tak w ocenie ważonej 62% mieszkańców, a zatem nie jest to zdecydowana większość respondentów. Zadowolenie z komunikacji autobusowej wzrasta wraz ze spadkiem poziomu wykształcenia. Wyraźniej niż większość zadowoleni są również młodzi ludzie oraz osoby w wieku 60 lat i powyżej. Płeć nie wpływa na ocenę w tym zakresie. Komunikacja publiczna nie jest ocenian</w:t>
      </w:r>
      <w:r w:rsidR="00EB131F" w:rsidRPr="008E3983">
        <w:rPr>
          <w:rFonts w:ascii="Calibri" w:hAnsi="Calibri" w:cs="Tahoma"/>
          <w:shadow/>
          <w:color w:val="808080"/>
          <w:sz w:val="22"/>
        </w:rPr>
        <w:t>a</w:t>
      </w:r>
      <w:r w:rsidRPr="008E3983">
        <w:rPr>
          <w:rFonts w:ascii="Calibri" w:hAnsi="Calibri" w:cs="Tahoma"/>
          <w:shadow/>
          <w:color w:val="808080"/>
          <w:sz w:val="22"/>
        </w:rPr>
        <w:t xml:space="preserve"> jako ważne kryterium jakości życia. Oceny są jednolite w poszczególnych grupach respondentów, jedynie osoby z wykształceniem zasadniczym zawodowym i poniżej wyżej niż inni oceniają to kryterium.</w:t>
      </w:r>
    </w:p>
    <w:p w:rsidR="00B62B77" w:rsidRPr="008E3983" w:rsidRDefault="00B62B77" w:rsidP="00B62B77">
      <w:pPr>
        <w:shd w:val="clear" w:color="auto" w:fill="FFFFFF"/>
        <w:spacing w:before="150" w:after="75"/>
        <w:jc w:val="both"/>
        <w:outlineLvl w:val="3"/>
        <w:rPr>
          <w:rFonts w:ascii="Calibri" w:hAnsi="Calibri" w:cs="Tahoma"/>
          <w:shadow/>
          <w:color w:val="808080"/>
          <w:sz w:val="22"/>
        </w:rPr>
      </w:pPr>
      <w:r w:rsidRPr="008E3983">
        <w:rPr>
          <w:rFonts w:ascii="Calibri" w:hAnsi="Calibri" w:cs="Tahoma"/>
          <w:b/>
          <w:shadow/>
          <w:color w:val="808080"/>
          <w:sz w:val="22"/>
        </w:rPr>
        <w:t>Wnioski:</w:t>
      </w:r>
      <w:r w:rsidRPr="008E3983">
        <w:rPr>
          <w:rFonts w:ascii="Calibri" w:hAnsi="Calibri" w:cs="Tahoma"/>
          <w:shadow/>
          <w:color w:val="808080"/>
          <w:sz w:val="22"/>
        </w:rPr>
        <w:t xml:space="preserve"> Komunikacja autobusowa w mieście jest oceniana jako mocna strona. Nie jest to dla mieszkańców ważne kryterium oceny, czy warto tu mieszkać, choć nie dla wszystkich, bo obywatele z wykształceniem zasadniczym zawodowym i poniżej podnoszą rangę tego kryterium. Są to osoby, które ze względu na niższe przeciętne zarobki mogą częściej korzystać z publicznych środków transportu. W ramach strategii stan komunikacji publicznej powinien być </w:t>
      </w:r>
      <w:r w:rsidR="00EB131F" w:rsidRPr="008E3983">
        <w:rPr>
          <w:rFonts w:ascii="Calibri" w:hAnsi="Calibri" w:cs="Tahoma"/>
          <w:shadow/>
          <w:color w:val="808080"/>
          <w:sz w:val="22"/>
        </w:rPr>
        <w:t>utrzymywany na dobrym poziomie.</w:t>
      </w:r>
    </w:p>
    <w:p w:rsidR="00B62B77" w:rsidRPr="00123EB4" w:rsidRDefault="00EB131F" w:rsidP="00123EB4">
      <w:pPr>
        <w:pStyle w:val="Legenda"/>
        <w:jc w:val="both"/>
        <w:rPr>
          <w:rFonts w:ascii="Calibri" w:hAnsi="Calibri" w:cs="Tahoma"/>
          <w:b w:val="0"/>
          <w:shadow/>
          <w:color w:val="808080"/>
          <w:szCs w:val="22"/>
        </w:rPr>
      </w:pPr>
      <w:bookmarkStart w:id="47" w:name="_Toc315790500"/>
      <w:r w:rsidRPr="00123EB4">
        <w:rPr>
          <w:rFonts w:ascii="Calibri" w:hAnsi="Calibri"/>
          <w:b w:val="0"/>
          <w:sz w:val="18"/>
        </w:rPr>
        <w:lastRenderedPageBreak/>
        <w:t xml:space="preserve">Wykres </w:t>
      </w:r>
      <w:r w:rsidR="005433B6" w:rsidRPr="00123EB4">
        <w:rPr>
          <w:rFonts w:ascii="Calibri" w:hAnsi="Calibri"/>
          <w:b w:val="0"/>
          <w:sz w:val="18"/>
        </w:rPr>
        <w:fldChar w:fldCharType="begin"/>
      </w:r>
      <w:r w:rsidRPr="00123EB4">
        <w:rPr>
          <w:rFonts w:ascii="Calibri" w:hAnsi="Calibri"/>
          <w:b w:val="0"/>
          <w:sz w:val="18"/>
        </w:rPr>
        <w:instrText xml:space="preserve"> SEQ Wykres \* ARABIC </w:instrText>
      </w:r>
      <w:r w:rsidR="005433B6" w:rsidRPr="00123EB4">
        <w:rPr>
          <w:rFonts w:ascii="Calibri" w:hAnsi="Calibri"/>
          <w:b w:val="0"/>
          <w:sz w:val="18"/>
        </w:rPr>
        <w:fldChar w:fldCharType="separate"/>
      </w:r>
      <w:r w:rsidR="00D377D1" w:rsidRPr="00123EB4">
        <w:rPr>
          <w:rFonts w:ascii="Calibri" w:hAnsi="Calibri"/>
          <w:b w:val="0"/>
          <w:noProof/>
          <w:sz w:val="18"/>
        </w:rPr>
        <w:t>31</w:t>
      </w:r>
      <w:r w:rsidR="005433B6" w:rsidRPr="00123EB4">
        <w:rPr>
          <w:rFonts w:ascii="Calibri" w:hAnsi="Calibri"/>
          <w:b w:val="0"/>
          <w:sz w:val="18"/>
        </w:rPr>
        <w:fldChar w:fldCharType="end"/>
      </w:r>
      <w:r w:rsidRPr="00123EB4">
        <w:rPr>
          <w:rFonts w:ascii="Calibri" w:hAnsi="Calibri"/>
          <w:b w:val="0"/>
          <w:sz w:val="18"/>
        </w:rPr>
        <w:t>.</w:t>
      </w:r>
      <w:r w:rsidR="00123EB4" w:rsidRPr="00123EB4">
        <w:rPr>
          <w:sz w:val="18"/>
        </w:rPr>
        <w:t xml:space="preserve"> </w:t>
      </w:r>
      <w:r w:rsidR="00123EB4" w:rsidRPr="00123EB4">
        <w:rPr>
          <w:rFonts w:ascii="Calibri" w:hAnsi="Calibri"/>
          <w:b w:val="0"/>
          <w:sz w:val="18"/>
        </w:rPr>
        <w:t>Rozkład odpowiedzi na pytanie, czy mieszkańcy zgadzają się z twierdzeniem, że komunikacja autobusowa jest dobrze rozwinięta, tzn. można łatwo dotrzeć do wielu miejsc na terenie miasta.</w:t>
      </w:r>
      <w:bookmarkEnd w:id="47"/>
    </w:p>
    <w:p w:rsidR="00B62B77" w:rsidRPr="00662F03" w:rsidRDefault="005B1628" w:rsidP="008E3983">
      <w:pPr>
        <w:jc w:val="center"/>
        <w:rPr>
          <w:rFonts w:ascii="Calibri" w:hAnsi="Calibri"/>
        </w:rPr>
      </w:pPr>
      <w:r>
        <w:rPr>
          <w:rFonts w:ascii="Calibri" w:hAnsi="Calibri"/>
          <w:noProof/>
        </w:rPr>
        <w:drawing>
          <wp:inline distT="0" distB="0" distL="0" distR="0">
            <wp:extent cx="4775436" cy="2668772"/>
            <wp:effectExtent l="19050" t="0" r="25164" b="0"/>
            <wp:docPr id="40" name="Wykres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B131F" w:rsidRPr="00123EB4" w:rsidRDefault="00EB131F" w:rsidP="00123EB4">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4D5193" w:rsidRPr="00123EB4" w:rsidRDefault="004D5193" w:rsidP="00123EB4">
      <w:pPr>
        <w:jc w:val="both"/>
        <w:rPr>
          <w:rFonts w:ascii="Calibri" w:hAnsi="Calibri"/>
          <w:b/>
          <w:bCs/>
          <w:sz w:val="22"/>
        </w:rPr>
      </w:pPr>
    </w:p>
    <w:p w:rsidR="00EB131F" w:rsidRPr="00123EB4" w:rsidRDefault="00EB131F" w:rsidP="00123EB4">
      <w:pPr>
        <w:jc w:val="both"/>
        <w:rPr>
          <w:rFonts w:ascii="Calibri" w:hAnsi="Calibri"/>
          <w:sz w:val="18"/>
        </w:rPr>
      </w:pPr>
      <w:bookmarkStart w:id="48" w:name="_Toc315790501"/>
      <w:r w:rsidRPr="00123EB4">
        <w:rPr>
          <w:rFonts w:ascii="Calibri" w:hAnsi="Calibri"/>
          <w:sz w:val="18"/>
        </w:rPr>
        <w:t xml:space="preserve">Wykres </w:t>
      </w:r>
      <w:r w:rsidR="005433B6" w:rsidRPr="00123EB4">
        <w:rPr>
          <w:rFonts w:ascii="Calibri" w:hAnsi="Calibri"/>
          <w:sz w:val="18"/>
        </w:rPr>
        <w:fldChar w:fldCharType="begin"/>
      </w:r>
      <w:r w:rsidRPr="00123EB4">
        <w:rPr>
          <w:rFonts w:ascii="Calibri" w:hAnsi="Calibri"/>
          <w:sz w:val="18"/>
        </w:rPr>
        <w:instrText xml:space="preserve"> SEQ Wykres \* ARABIC </w:instrText>
      </w:r>
      <w:r w:rsidR="005433B6" w:rsidRPr="00123EB4">
        <w:rPr>
          <w:rFonts w:ascii="Calibri" w:hAnsi="Calibri"/>
          <w:sz w:val="18"/>
        </w:rPr>
        <w:fldChar w:fldCharType="separate"/>
      </w:r>
      <w:r w:rsidR="00D377D1" w:rsidRPr="00123EB4">
        <w:rPr>
          <w:rFonts w:ascii="Calibri" w:hAnsi="Calibri"/>
          <w:noProof/>
          <w:sz w:val="18"/>
        </w:rPr>
        <w:t>32</w:t>
      </w:r>
      <w:r w:rsidR="005433B6" w:rsidRPr="00123EB4">
        <w:rPr>
          <w:rFonts w:ascii="Calibri" w:hAnsi="Calibri"/>
          <w:sz w:val="18"/>
        </w:rPr>
        <w:fldChar w:fldCharType="end"/>
      </w:r>
      <w:r w:rsidRPr="00123EB4">
        <w:rPr>
          <w:rFonts w:ascii="Calibri" w:hAnsi="Calibri"/>
          <w:sz w:val="18"/>
        </w:rPr>
        <w:t>.</w:t>
      </w:r>
      <w:r w:rsidR="00123EB4" w:rsidRPr="00123EB4">
        <w:rPr>
          <w:sz w:val="22"/>
        </w:rPr>
        <w:t xml:space="preserve"> </w:t>
      </w:r>
      <w:r w:rsidR="00123EB4" w:rsidRPr="00123EB4">
        <w:rPr>
          <w:rFonts w:ascii="Calibri" w:hAnsi="Calibri"/>
          <w:sz w:val="18"/>
        </w:rPr>
        <w:t>Średnia oceny, czy jakość funkcjonowania komunikacji autobusowej ma znaczenie w atrakcyjności miasta jako miejsca zamieszkania.</w:t>
      </w:r>
      <w:bookmarkEnd w:id="48"/>
    </w:p>
    <w:p w:rsidR="00B62B77" w:rsidRPr="00662F03" w:rsidRDefault="005B1628" w:rsidP="008E3983">
      <w:pPr>
        <w:jc w:val="center"/>
        <w:rPr>
          <w:rFonts w:ascii="Calibri" w:hAnsi="Calibri"/>
        </w:rPr>
      </w:pPr>
      <w:r>
        <w:rPr>
          <w:rFonts w:ascii="Calibri" w:hAnsi="Calibri"/>
          <w:noProof/>
        </w:rPr>
        <w:drawing>
          <wp:inline distT="0" distB="0" distL="0" distR="0">
            <wp:extent cx="4982210" cy="2424224"/>
            <wp:effectExtent l="19050" t="0" r="27940" b="0"/>
            <wp:docPr id="41" name="Wykres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4717D3" w:rsidRDefault="00EB131F" w:rsidP="001417DC">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1417DC" w:rsidRPr="001417DC" w:rsidRDefault="001417DC" w:rsidP="001417DC">
      <w:pPr>
        <w:jc w:val="both"/>
        <w:rPr>
          <w:rFonts w:ascii="Calibri" w:hAnsi="Calibri" w:cs="Calibri"/>
          <w:noProof/>
          <w:sz w:val="18"/>
          <w:szCs w:val="20"/>
        </w:rPr>
      </w:pPr>
    </w:p>
    <w:p w:rsidR="00FC1796" w:rsidRPr="00662F03" w:rsidRDefault="005433B6" w:rsidP="004E5A9A">
      <w:pPr>
        <w:rPr>
          <w:rFonts w:ascii="Calibri" w:hAnsi="Calibri"/>
          <w:sz w:val="22"/>
        </w:rPr>
      </w:pPr>
      <w:r w:rsidRPr="005433B6">
        <w:rPr>
          <w:rFonts w:ascii="Calibri" w:hAnsi="Calibri" w:cs="Tahoma"/>
          <w:sz w:val="22"/>
          <w:szCs w:val="22"/>
        </w:rPr>
      </w:r>
      <w:r w:rsidR="00D24064" w:rsidRPr="005433B6">
        <w:rPr>
          <w:rFonts w:ascii="Calibri" w:hAnsi="Calibri" w:cs="Tahoma"/>
          <w:sz w:val="22"/>
          <w:szCs w:val="22"/>
        </w:rPr>
        <w:pict>
          <v:rect id="_x0000_s1046"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46;mso-fit-shape-to-text:t" inset="28.8pt,7.2pt,14.4pt,28.8pt">
              <w:txbxContent>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Położenie komunikacyjne miasta jest bardzo korzystne</w:t>
                  </w:r>
                  <w:r>
                    <w:rPr>
                      <w:rFonts w:ascii="Calibri" w:hAnsi="Calibri"/>
                      <w:i/>
                      <w:iCs/>
                      <w:color w:val="1F497D"/>
                      <w:sz w:val="22"/>
                      <w:szCs w:val="28"/>
                    </w:rPr>
                    <w:t>, z Nowej Soli łatwo dostać się do innych dużych miast</w:t>
                  </w:r>
                  <w:r w:rsidRPr="00EC0E96">
                    <w:rPr>
                      <w:rFonts w:ascii="Calibri" w:hAnsi="Calibri"/>
                      <w:i/>
                      <w:iCs/>
                      <w:color w:val="1F497D"/>
                      <w:sz w:val="22"/>
                      <w:szCs w:val="28"/>
                    </w:rPr>
                    <w:t>.</w:t>
                  </w:r>
                  <w:r>
                    <w:rPr>
                      <w:rFonts w:ascii="Calibri" w:hAnsi="Calibri"/>
                      <w:i/>
                      <w:iCs/>
                      <w:color w:val="1F497D"/>
                      <w:sz w:val="22"/>
                      <w:szCs w:val="28"/>
                    </w:rPr>
                    <w:t xml:space="preserve"> </w:t>
                  </w:r>
                  <w:r w:rsidRPr="00E67A71">
                    <w:rPr>
                      <w:rFonts w:ascii="Calibri" w:hAnsi="Calibri"/>
                      <w:i/>
                      <w:iCs/>
                      <w:color w:val="1F497D"/>
                      <w:sz w:val="22"/>
                      <w:szCs w:val="28"/>
                    </w:rPr>
                    <w:t xml:space="preserve">Wiele z dróg gminnych wymaga remontu nawierzchni lub przebudowy. </w:t>
                  </w:r>
                  <w:r w:rsidRPr="00EC0E96">
                    <w:rPr>
                      <w:rFonts w:ascii="Calibri" w:hAnsi="Calibri"/>
                      <w:i/>
                      <w:iCs/>
                      <w:color w:val="1F497D"/>
                      <w:sz w:val="22"/>
                      <w:szCs w:val="28"/>
                    </w:rPr>
                    <w:t>Stan techniczny ulic miejskich, choć intensywnie poprawiany nadal stanowi w opinii obywateli miasta problem wymagający rozwiązania.</w:t>
                  </w:r>
                </w:p>
                <w:p w:rsidR="00D24064" w:rsidRDefault="00D24064" w:rsidP="00996028">
                  <w:pPr>
                    <w:jc w:val="both"/>
                    <w:rPr>
                      <w:rFonts w:ascii="Calibri" w:hAnsi="Calibri"/>
                      <w:i/>
                      <w:iCs/>
                      <w:color w:val="1F497D"/>
                      <w:sz w:val="22"/>
                      <w:szCs w:val="28"/>
                    </w:rPr>
                  </w:pPr>
                  <w:r w:rsidRPr="00EC0E96">
                    <w:rPr>
                      <w:rFonts w:ascii="Calibri" w:hAnsi="Calibri"/>
                      <w:i/>
                      <w:iCs/>
                      <w:color w:val="1F497D"/>
                      <w:sz w:val="22"/>
                      <w:szCs w:val="28"/>
                    </w:rPr>
                    <w:t>Należy wyeliminować uciążliwy, tranzytowy ruch pojazdów w centralnych rejonach miasta.</w:t>
                  </w:r>
                  <w:r>
                    <w:rPr>
                      <w:rFonts w:ascii="Calibri" w:hAnsi="Calibri"/>
                      <w:i/>
                      <w:iCs/>
                      <w:color w:val="1F497D"/>
                      <w:sz w:val="22"/>
                      <w:szCs w:val="28"/>
                    </w:rPr>
                    <w:t xml:space="preserve"> Umożliwi to zakończenie budowy obwodnicy Nowej Soli.</w:t>
                  </w:r>
                </w:p>
                <w:p w:rsidR="00D24064" w:rsidRPr="00EC0E96" w:rsidRDefault="00D24064" w:rsidP="00996028">
                  <w:pPr>
                    <w:jc w:val="both"/>
                    <w:rPr>
                      <w:rFonts w:ascii="Calibri" w:hAnsi="Calibri"/>
                      <w:i/>
                      <w:iCs/>
                      <w:color w:val="1F497D"/>
                      <w:sz w:val="22"/>
                      <w:szCs w:val="28"/>
                    </w:rPr>
                  </w:pPr>
                  <w:r>
                    <w:rPr>
                      <w:rFonts w:ascii="Calibri" w:hAnsi="Calibri"/>
                      <w:i/>
                      <w:iCs/>
                      <w:color w:val="1F497D"/>
                      <w:sz w:val="22"/>
                      <w:szCs w:val="28"/>
                    </w:rPr>
                    <w:t xml:space="preserve">Linia kolejowa jest obecnie modernizowana. Tory kolejowe dzielą Nową </w:t>
                  </w:r>
                  <w:r w:rsidRPr="00E67A71">
                    <w:rPr>
                      <w:rFonts w:ascii="Calibri" w:hAnsi="Calibri"/>
                      <w:i/>
                      <w:iCs/>
                      <w:color w:val="1F497D"/>
                      <w:sz w:val="22"/>
                      <w:szCs w:val="28"/>
                    </w:rPr>
                    <w:t>Sól na pół i utrudniają komunikację pomiędzy dwiema częściami miasta.</w:t>
                  </w:r>
                  <w:r>
                    <w:rPr>
                      <w:rFonts w:ascii="Calibri" w:hAnsi="Calibri"/>
                      <w:i/>
                      <w:iCs/>
                      <w:color w:val="1F497D"/>
                      <w:sz w:val="22"/>
                      <w:szCs w:val="28"/>
                    </w:rPr>
                    <w:t xml:space="preserve"> Odczuwalny jest brak przystanków kolejowych w Strefie, Starym Żabnie i na osiedlu XXX-lecia PRL.</w:t>
                  </w:r>
                </w:p>
                <w:p w:rsidR="00D24064" w:rsidRPr="00EC0E96" w:rsidRDefault="00D24064" w:rsidP="00996028">
                  <w:pPr>
                    <w:jc w:val="both"/>
                    <w:rPr>
                      <w:rFonts w:ascii="Calibri" w:hAnsi="Calibri"/>
                      <w:i/>
                      <w:iCs/>
                      <w:color w:val="1F497D"/>
                      <w:sz w:val="22"/>
                      <w:szCs w:val="28"/>
                    </w:rPr>
                  </w:pPr>
                  <w:r>
                    <w:rPr>
                      <w:rFonts w:ascii="Calibri" w:hAnsi="Calibri"/>
                      <w:i/>
                      <w:iCs/>
                      <w:color w:val="1F497D"/>
                      <w:sz w:val="22"/>
                      <w:szCs w:val="28"/>
                    </w:rPr>
                    <w:t>Rzeka Odra w rejonie Nowej Soli charakteryzuje się słabymi parametrami nawigacyjnymi.</w:t>
                  </w:r>
                </w:p>
                <w:p w:rsidR="00D24064" w:rsidRPr="00EC0E96" w:rsidRDefault="00D24064" w:rsidP="00996028">
                  <w:pPr>
                    <w:jc w:val="both"/>
                    <w:rPr>
                      <w:rFonts w:ascii="Calibri" w:hAnsi="Calibri"/>
                      <w:i/>
                      <w:iCs/>
                      <w:color w:val="1F497D"/>
                      <w:sz w:val="22"/>
                      <w:szCs w:val="28"/>
                    </w:rPr>
                  </w:pPr>
                  <w:r>
                    <w:rPr>
                      <w:rFonts w:ascii="Calibri" w:hAnsi="Calibri"/>
                      <w:i/>
                      <w:iCs/>
                      <w:color w:val="1F497D"/>
                      <w:sz w:val="22"/>
                      <w:szCs w:val="28"/>
                    </w:rPr>
                    <w:t>Ważną inwestycją dla rozwoju miasta jest budowa drogi S3.</w:t>
                  </w:r>
                </w:p>
              </w:txbxContent>
            </v:textbox>
            <w10:wrap type="none" anchorx="margin" anchory="page"/>
            <w10:anchorlock/>
          </v:rect>
        </w:pict>
      </w:r>
    </w:p>
    <w:p w:rsidR="00FC1796" w:rsidRPr="00662F03" w:rsidRDefault="00FC1796" w:rsidP="004E5A9A">
      <w:pPr>
        <w:rPr>
          <w:rFonts w:ascii="Calibri" w:hAnsi="Calibri"/>
          <w:sz w:val="22"/>
        </w:rPr>
      </w:pPr>
    </w:p>
    <w:p w:rsidR="00270B39" w:rsidRPr="00662F03" w:rsidRDefault="003451FE" w:rsidP="007F5FC1">
      <w:pPr>
        <w:pStyle w:val="Nagwek2"/>
        <w:numPr>
          <w:ilvl w:val="1"/>
          <w:numId w:val="1"/>
        </w:numPr>
        <w:spacing w:line="240" w:lineRule="auto"/>
        <w:rPr>
          <w:rFonts w:ascii="Calibri" w:hAnsi="Calibri"/>
          <w:color w:val="17365D"/>
          <w:sz w:val="22"/>
          <w:szCs w:val="22"/>
        </w:rPr>
      </w:pPr>
      <w:bookmarkStart w:id="49" w:name="_Toc316395259"/>
      <w:r w:rsidRPr="00662F03">
        <w:rPr>
          <w:rFonts w:ascii="Calibri" w:hAnsi="Calibri"/>
          <w:color w:val="17365D"/>
          <w:sz w:val="22"/>
          <w:szCs w:val="22"/>
        </w:rPr>
        <w:t>Obszary chronione, środowisko przyrodnicze</w:t>
      </w:r>
      <w:bookmarkEnd w:id="49"/>
    </w:p>
    <w:p w:rsidR="009C1E76" w:rsidRPr="00662F03" w:rsidRDefault="009C1E7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Nowa Sól należy do miast o niewielkim udziale terenów zielonych. Według danych z końca 2009 r. miasto posiadało trzy parki o łącznej powierzchni </w:t>
      </w:r>
      <w:r w:rsidR="00985B5C" w:rsidRPr="00662F03">
        <w:rPr>
          <w:rFonts w:ascii="Calibri" w:hAnsi="Calibri" w:cs="Tahoma"/>
          <w:sz w:val="22"/>
          <w:szCs w:val="22"/>
        </w:rPr>
        <w:t>niemal 12</w:t>
      </w:r>
      <w:r w:rsidRPr="00662F03">
        <w:rPr>
          <w:rFonts w:ascii="Calibri" w:hAnsi="Calibri" w:cs="Tahoma"/>
          <w:sz w:val="22"/>
          <w:szCs w:val="22"/>
        </w:rPr>
        <w:t xml:space="preserve"> ha, dwadzieścia sześć zieleńców o łącznej powierzchni</w:t>
      </w:r>
      <w:r w:rsidR="00985B5C" w:rsidRPr="00662F03">
        <w:rPr>
          <w:rFonts w:ascii="Calibri" w:hAnsi="Calibri" w:cs="Tahoma"/>
          <w:sz w:val="22"/>
          <w:szCs w:val="22"/>
        </w:rPr>
        <w:t xml:space="preserve"> niespełna</w:t>
      </w:r>
      <w:r w:rsidRPr="00662F03">
        <w:rPr>
          <w:rFonts w:ascii="Calibri" w:hAnsi="Calibri" w:cs="Tahoma"/>
          <w:sz w:val="22"/>
          <w:szCs w:val="22"/>
        </w:rPr>
        <w:t xml:space="preserve"> 9 ha oraz tereny zieleni osiedlowej. </w:t>
      </w:r>
      <w:r w:rsidR="00084E78" w:rsidRPr="00662F03">
        <w:rPr>
          <w:rFonts w:ascii="Calibri" w:hAnsi="Calibri" w:cs="Tahoma"/>
          <w:sz w:val="22"/>
          <w:szCs w:val="22"/>
        </w:rPr>
        <w:t xml:space="preserve">Zieleń urządzona na terenie miasta reprezentowana jest przede wszystkim w formie zieleni parkowej, alei i szpalerów przydrożnych oraz śródpolnych (w południowej części miasta), zieleni cmentarnej i przykościelnej oraz dodatkowo w formie obiektów zieleni miejskiej, ogólnodostępnej, o funkcjach rekreacyjnych i estetycznych (zieleńce, boiska trawiaste) oraz zieleni przyzagrodowej (w południowej części miasta). </w:t>
      </w:r>
      <w:r w:rsidRPr="00662F03">
        <w:rPr>
          <w:rFonts w:ascii="Calibri" w:hAnsi="Calibri" w:cs="Tahoma"/>
          <w:sz w:val="22"/>
          <w:szCs w:val="22"/>
        </w:rPr>
        <w:t>Uzupełnieniem systemu zieleni w zainwestowanym obszarze miasta są żywopłoty i ciągi zieleni usytuowane wzdłuż cieków wodnych, wałów ochronnych, torów kolejowych, skarp oraz ulic: Tetmajera, Chełmońskiego, Struga, Kaczkowskiego, Piłsudskiego, Wyspiańskiego, Dąbrowskiego.</w:t>
      </w:r>
      <w:r w:rsidR="002474EF" w:rsidRPr="00662F03">
        <w:rPr>
          <w:rFonts w:ascii="Calibri" w:hAnsi="Calibri" w:cs="Tahoma"/>
          <w:sz w:val="22"/>
          <w:szCs w:val="22"/>
        </w:rPr>
        <w:t xml:space="preserve"> Na terenie miasta objęto ochroną w formie pomników przyrody dziewiętnaście drzew.</w:t>
      </w:r>
    </w:p>
    <w:p w:rsidR="00E22BAC" w:rsidRPr="00662F03" w:rsidRDefault="0035458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Gmina miejska Nowa Sól charakteryz</w:t>
      </w:r>
      <w:r w:rsidR="00985B5C" w:rsidRPr="00662F03">
        <w:rPr>
          <w:rFonts w:ascii="Calibri" w:hAnsi="Calibri" w:cs="Tahoma"/>
          <w:sz w:val="22"/>
          <w:szCs w:val="22"/>
        </w:rPr>
        <w:t>uje</w:t>
      </w:r>
      <w:r w:rsidRPr="00662F03">
        <w:rPr>
          <w:rFonts w:ascii="Calibri" w:hAnsi="Calibri" w:cs="Tahoma"/>
          <w:sz w:val="22"/>
          <w:szCs w:val="22"/>
        </w:rPr>
        <w:t xml:space="preserve"> się n</w:t>
      </w:r>
      <w:r w:rsidR="00CF155F" w:rsidRPr="00662F03">
        <w:rPr>
          <w:rFonts w:ascii="Calibri" w:hAnsi="Calibri" w:cs="Tahoma"/>
          <w:sz w:val="22"/>
          <w:szCs w:val="22"/>
        </w:rPr>
        <w:t xml:space="preserve">ajmniejszym udziałem lasów w powierzchni powiatu (0,4%). </w:t>
      </w:r>
      <w:r w:rsidR="009C1E76" w:rsidRPr="00662F03">
        <w:rPr>
          <w:rFonts w:ascii="Calibri" w:hAnsi="Calibri" w:cs="Tahoma"/>
          <w:sz w:val="22"/>
          <w:szCs w:val="22"/>
        </w:rPr>
        <w:t xml:space="preserve">W 2009 roku lasy zajmowały 282 hektary powierzchni miasta, lesistość wyniosła </w:t>
      </w:r>
      <w:r w:rsidR="00985B5C" w:rsidRPr="00662F03">
        <w:rPr>
          <w:rFonts w:ascii="Calibri" w:hAnsi="Calibri" w:cs="Tahoma"/>
          <w:sz w:val="22"/>
          <w:szCs w:val="22"/>
        </w:rPr>
        <w:t>około 13</w:t>
      </w:r>
      <w:r w:rsidR="009C1E76" w:rsidRPr="00662F03">
        <w:rPr>
          <w:rFonts w:ascii="Calibri" w:hAnsi="Calibri" w:cs="Tahoma"/>
          <w:sz w:val="22"/>
          <w:szCs w:val="22"/>
        </w:rPr>
        <w:t>%</w:t>
      </w:r>
      <w:r w:rsidR="00CF155F" w:rsidRPr="00662F03">
        <w:rPr>
          <w:rFonts w:ascii="Calibri" w:hAnsi="Calibri" w:cs="Tahoma"/>
          <w:sz w:val="22"/>
          <w:szCs w:val="22"/>
        </w:rPr>
        <w:t>, był to najniższy wskaźnik w powiecie nowosolskim.</w:t>
      </w:r>
      <w:r w:rsidR="00E7660C" w:rsidRPr="00662F03">
        <w:rPr>
          <w:rFonts w:ascii="Calibri" w:hAnsi="Calibri" w:cs="Tahoma"/>
          <w:sz w:val="22"/>
          <w:szCs w:val="22"/>
        </w:rPr>
        <w:t xml:space="preserve"> </w:t>
      </w:r>
      <w:r w:rsidR="00E22BAC" w:rsidRPr="00662F03">
        <w:rPr>
          <w:rFonts w:ascii="Calibri" w:hAnsi="Calibri" w:cs="Tahoma"/>
          <w:sz w:val="22"/>
          <w:szCs w:val="22"/>
        </w:rPr>
        <w:t>Rozmieszczenie terenów leśnych jest nierównomierne, trzy główne, lokalne kompleksy zlokalizowane są w:</w:t>
      </w:r>
    </w:p>
    <w:p w:rsidR="00E22BAC" w:rsidRPr="00662F03" w:rsidRDefault="00E22BAC" w:rsidP="00F71F0A">
      <w:pPr>
        <w:pStyle w:val="Akapitzlist"/>
        <w:numPr>
          <w:ilvl w:val="0"/>
          <w:numId w:val="11"/>
        </w:numPr>
        <w:shd w:val="clear" w:color="auto" w:fill="FFFFFF"/>
        <w:spacing w:before="150" w:after="75" w:line="240" w:lineRule="auto"/>
        <w:jc w:val="both"/>
        <w:outlineLvl w:val="3"/>
        <w:rPr>
          <w:rFonts w:cs="Tahoma"/>
        </w:rPr>
      </w:pPr>
      <w:r w:rsidRPr="00662F03">
        <w:rPr>
          <w:rFonts w:cs="Tahoma"/>
        </w:rPr>
        <w:t>zachodniej części miasta (na granicy z gminą wiejską Nowa Sól);</w:t>
      </w:r>
    </w:p>
    <w:p w:rsidR="00E22BAC" w:rsidRPr="00662F03" w:rsidRDefault="00E22BAC" w:rsidP="00F71F0A">
      <w:pPr>
        <w:pStyle w:val="Akapitzlist"/>
        <w:numPr>
          <w:ilvl w:val="0"/>
          <w:numId w:val="11"/>
        </w:numPr>
        <w:shd w:val="clear" w:color="auto" w:fill="FFFFFF"/>
        <w:spacing w:before="150" w:after="75" w:line="240" w:lineRule="auto"/>
        <w:jc w:val="both"/>
        <w:outlineLvl w:val="3"/>
        <w:rPr>
          <w:rFonts w:cs="Tahoma"/>
        </w:rPr>
      </w:pPr>
      <w:r w:rsidRPr="00662F03">
        <w:rPr>
          <w:rFonts w:cs="Tahoma"/>
        </w:rPr>
        <w:t>północnej części miasta (w sąsiedztwie Miejskiej Strefy Przemysłowej);</w:t>
      </w:r>
    </w:p>
    <w:p w:rsidR="00E22BAC" w:rsidRPr="00662F03" w:rsidRDefault="00E22BAC" w:rsidP="00F71F0A">
      <w:pPr>
        <w:pStyle w:val="Akapitzlist"/>
        <w:numPr>
          <w:ilvl w:val="0"/>
          <w:numId w:val="11"/>
        </w:numPr>
        <w:shd w:val="clear" w:color="auto" w:fill="FFFFFF"/>
        <w:spacing w:before="150" w:after="75" w:line="240" w:lineRule="auto"/>
        <w:jc w:val="both"/>
        <w:outlineLvl w:val="3"/>
        <w:rPr>
          <w:rFonts w:cs="Tahoma"/>
        </w:rPr>
      </w:pPr>
      <w:r w:rsidRPr="00662F03">
        <w:rPr>
          <w:rFonts w:cs="Tahoma"/>
        </w:rPr>
        <w:t>wschodniej części miasta (w sąsiedztwie doliny rzeki Odry).</w:t>
      </w:r>
    </w:p>
    <w:p w:rsidR="009C1E76" w:rsidRPr="00662F03" w:rsidRDefault="00E7660C"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Ponad 84% nowosolskich lasów stanowi własność Skarbu Państwa.</w:t>
      </w:r>
    </w:p>
    <w:p w:rsidR="005456B3" w:rsidRPr="00662F03" w:rsidRDefault="005456B3" w:rsidP="004E5A9A">
      <w:pPr>
        <w:shd w:val="clear" w:color="auto" w:fill="FFFFFF"/>
        <w:spacing w:before="150" w:after="75"/>
        <w:jc w:val="both"/>
        <w:outlineLvl w:val="3"/>
        <w:rPr>
          <w:rFonts w:ascii="Calibri" w:hAnsi="Calibri" w:cs="Tahoma"/>
          <w:sz w:val="22"/>
          <w:szCs w:val="22"/>
        </w:rPr>
        <w:sectPr w:rsidR="005456B3" w:rsidRPr="00662F03" w:rsidSect="008522CD">
          <w:headerReference w:type="default" r:id="rId40"/>
          <w:footerReference w:type="default" r:id="rId41"/>
          <w:headerReference w:type="first" r:id="rId42"/>
          <w:footerReference w:type="first" r:id="rId43"/>
          <w:type w:val="continuous"/>
          <w:pgSz w:w="11906" w:h="16838"/>
          <w:pgMar w:top="1098" w:right="1417" w:bottom="1417" w:left="1417" w:header="708" w:footer="708" w:gutter="0"/>
          <w:cols w:space="708"/>
          <w:titlePg/>
          <w:docGrid w:linePitch="360"/>
        </w:sectPr>
      </w:pPr>
    </w:p>
    <w:p w:rsidR="0097472E" w:rsidRPr="00662F03" w:rsidRDefault="005B1628" w:rsidP="004E5A9A">
      <w:pPr>
        <w:shd w:val="clear" w:color="auto" w:fill="FFFFFF"/>
        <w:spacing w:before="150" w:after="75"/>
        <w:jc w:val="both"/>
        <w:outlineLvl w:val="3"/>
        <w:rPr>
          <w:rFonts w:ascii="Calibri" w:hAnsi="Calibri" w:cs="Tahoma"/>
          <w:sz w:val="22"/>
          <w:szCs w:val="22"/>
        </w:rPr>
      </w:pPr>
      <w:r>
        <w:rPr>
          <w:rFonts w:cs="Tahoma"/>
          <w:noProof/>
        </w:rPr>
        <w:lastRenderedPageBreak/>
        <w:drawing>
          <wp:anchor distT="0" distB="0" distL="114300" distR="114300" simplePos="0" relativeHeight="251643392" behindDoc="0" locked="0" layoutInCell="1" allowOverlap="1">
            <wp:simplePos x="0" y="0"/>
            <wp:positionH relativeFrom="column">
              <wp:posOffset>2862580</wp:posOffset>
            </wp:positionH>
            <wp:positionV relativeFrom="paragraph">
              <wp:posOffset>252095</wp:posOffset>
            </wp:positionV>
            <wp:extent cx="2981325" cy="3324225"/>
            <wp:effectExtent l="19050" t="0" r="9525" b="0"/>
            <wp:wrapTopAndBottom/>
            <wp:docPr id="32" name="Obraz 1" descr="C:\Documents and Settings\Właściciel\Pulpit\Anita\Lubuskie Trójmiasto\Natura 2000\Nowa Sol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Documents and Settings\Właściciel\Pulpit\Anita\Lubuskie Trójmiasto\Natura 2000\Nowa Sol_2.png"/>
                    <pic:cNvPicPr>
                      <a:picLocks noChangeAspect="1" noChangeArrowheads="1"/>
                    </pic:cNvPicPr>
                  </pic:nvPicPr>
                  <pic:blipFill>
                    <a:blip r:embed="rId44"/>
                    <a:srcRect/>
                    <a:stretch>
                      <a:fillRect/>
                    </a:stretch>
                  </pic:blipFill>
                  <pic:spPr bwMode="auto">
                    <a:xfrm>
                      <a:off x="0" y="0"/>
                      <a:ext cx="2981325" cy="3324225"/>
                    </a:xfrm>
                    <a:prstGeom prst="rect">
                      <a:avLst/>
                    </a:prstGeom>
                    <a:noFill/>
                    <a:ln w="9525">
                      <a:noFill/>
                      <a:miter lim="800000"/>
                      <a:headEnd/>
                      <a:tailEnd/>
                    </a:ln>
                  </pic:spPr>
                </pic:pic>
              </a:graphicData>
            </a:graphic>
          </wp:anchor>
        </w:drawing>
      </w:r>
      <w:r w:rsidR="00C877ED" w:rsidRPr="00662F03">
        <w:rPr>
          <w:rFonts w:ascii="Calibri" w:hAnsi="Calibri" w:cs="Tahoma"/>
          <w:sz w:val="22"/>
          <w:szCs w:val="22"/>
        </w:rPr>
        <w:t xml:space="preserve">Od wschodu miasto Nowa Sól graniczy z obszarem chronionego krajobrazu - </w:t>
      </w:r>
      <w:r w:rsidR="00530941" w:rsidRPr="00662F03">
        <w:rPr>
          <w:rFonts w:ascii="Calibri" w:hAnsi="Calibri" w:cs="Tahoma"/>
          <w:sz w:val="22"/>
          <w:szCs w:val="22"/>
        </w:rPr>
        <w:t>Nowosolsk</w:t>
      </w:r>
      <w:r w:rsidR="00C877ED" w:rsidRPr="00662F03">
        <w:rPr>
          <w:rFonts w:ascii="Calibri" w:hAnsi="Calibri" w:cs="Tahoma"/>
          <w:sz w:val="22"/>
          <w:szCs w:val="22"/>
        </w:rPr>
        <w:t>ą</w:t>
      </w:r>
      <w:r w:rsidR="00530941" w:rsidRPr="00662F03">
        <w:rPr>
          <w:rFonts w:ascii="Calibri" w:hAnsi="Calibri" w:cs="Tahoma"/>
          <w:sz w:val="22"/>
          <w:szCs w:val="22"/>
        </w:rPr>
        <w:t xml:space="preserve"> Dolin</w:t>
      </w:r>
      <w:r w:rsidR="00C877ED" w:rsidRPr="00662F03">
        <w:rPr>
          <w:rFonts w:ascii="Calibri" w:hAnsi="Calibri" w:cs="Tahoma"/>
          <w:sz w:val="22"/>
          <w:szCs w:val="22"/>
        </w:rPr>
        <w:t>ą</w:t>
      </w:r>
      <w:r w:rsidR="00530941" w:rsidRPr="00662F03">
        <w:rPr>
          <w:rFonts w:ascii="Calibri" w:hAnsi="Calibri" w:cs="Tahoma"/>
          <w:sz w:val="22"/>
          <w:szCs w:val="22"/>
        </w:rPr>
        <w:t xml:space="preserve"> Odry</w:t>
      </w:r>
      <w:r w:rsidR="00C877ED" w:rsidRPr="00662F03">
        <w:rPr>
          <w:rFonts w:ascii="Calibri" w:hAnsi="Calibri" w:cs="Tahoma"/>
          <w:sz w:val="22"/>
          <w:szCs w:val="22"/>
        </w:rPr>
        <w:t>, która jest jed</w:t>
      </w:r>
      <w:r w:rsidR="00530941" w:rsidRPr="00662F03">
        <w:rPr>
          <w:rFonts w:ascii="Calibri" w:hAnsi="Calibri" w:cs="Tahoma"/>
          <w:sz w:val="22"/>
          <w:szCs w:val="22"/>
        </w:rPr>
        <w:t>n</w:t>
      </w:r>
      <w:r w:rsidR="00C877ED" w:rsidRPr="00662F03">
        <w:rPr>
          <w:rFonts w:ascii="Calibri" w:hAnsi="Calibri" w:cs="Tahoma"/>
          <w:sz w:val="22"/>
          <w:szCs w:val="22"/>
        </w:rPr>
        <w:t>ym</w:t>
      </w:r>
      <w:r w:rsidR="009B7846" w:rsidRPr="00662F03">
        <w:rPr>
          <w:rFonts w:ascii="Calibri" w:hAnsi="Calibri" w:cs="Tahoma"/>
          <w:sz w:val="22"/>
          <w:szCs w:val="22"/>
        </w:rPr>
        <w:t xml:space="preserve"> z lepiej zachowanych i bardziej naturalnych fragmentów doliny Odry: stwierdzono tu występowanie 10 rodzajów siedlisk z Załącznika I Dyrektywy Rady 92/43/EWG, zajmujących łącz</w:t>
      </w:r>
      <w:r w:rsidR="00E03D06" w:rsidRPr="00662F03">
        <w:rPr>
          <w:rFonts w:ascii="Calibri" w:hAnsi="Calibri" w:cs="Tahoma"/>
          <w:sz w:val="22"/>
          <w:szCs w:val="22"/>
        </w:rPr>
        <w:t>nie ok. 77% powierzchni obszaru</w:t>
      </w:r>
      <w:r w:rsidR="009B7846" w:rsidRPr="00662F03">
        <w:rPr>
          <w:rFonts w:ascii="Calibri" w:hAnsi="Calibri" w:cs="Tahoma"/>
          <w:sz w:val="22"/>
          <w:szCs w:val="22"/>
        </w:rPr>
        <w:t xml:space="preserve"> i 8 gatunków z Załącznika II Dyrektywy Rady 92/43/EWG. </w:t>
      </w:r>
      <w:r w:rsidR="00C877ED" w:rsidRPr="00662F03">
        <w:rPr>
          <w:rFonts w:ascii="Calibri" w:hAnsi="Calibri" w:cs="Tahoma"/>
          <w:sz w:val="22"/>
          <w:szCs w:val="22"/>
        </w:rPr>
        <w:t>Występują tu</w:t>
      </w:r>
      <w:r w:rsidR="00530941" w:rsidRPr="00662F03">
        <w:rPr>
          <w:rFonts w:ascii="Calibri" w:hAnsi="Calibri" w:cs="Tahoma"/>
          <w:sz w:val="22"/>
          <w:szCs w:val="22"/>
        </w:rPr>
        <w:t xml:space="preserve"> n</w:t>
      </w:r>
      <w:r w:rsidR="009B7846" w:rsidRPr="00662F03">
        <w:rPr>
          <w:rFonts w:ascii="Calibri" w:hAnsi="Calibri" w:cs="Tahoma"/>
          <w:sz w:val="22"/>
          <w:szCs w:val="22"/>
        </w:rPr>
        <w:t xml:space="preserve">ajlepiej w </w:t>
      </w:r>
      <w:r w:rsidR="00EB131F" w:rsidRPr="00662F03">
        <w:rPr>
          <w:rFonts w:ascii="Calibri" w:hAnsi="Calibri" w:cs="Tahoma"/>
          <w:sz w:val="22"/>
          <w:szCs w:val="22"/>
        </w:rPr>
        <w:t>L</w:t>
      </w:r>
      <w:r w:rsidR="009B7846" w:rsidRPr="00662F03">
        <w:rPr>
          <w:rFonts w:ascii="Calibri" w:hAnsi="Calibri" w:cs="Tahoma"/>
          <w:sz w:val="22"/>
          <w:szCs w:val="22"/>
        </w:rPr>
        <w:t>ubuski</w:t>
      </w:r>
      <w:r w:rsidR="00EB131F" w:rsidRPr="00662F03">
        <w:rPr>
          <w:rFonts w:ascii="Calibri" w:hAnsi="Calibri" w:cs="Tahoma"/>
          <w:sz w:val="22"/>
          <w:szCs w:val="22"/>
        </w:rPr>
        <w:t>e</w:t>
      </w:r>
      <w:r w:rsidR="009B7846" w:rsidRPr="00662F03">
        <w:rPr>
          <w:rFonts w:ascii="Calibri" w:hAnsi="Calibri" w:cs="Tahoma"/>
          <w:sz w:val="22"/>
          <w:szCs w:val="22"/>
        </w:rPr>
        <w:t xml:space="preserve">m </w:t>
      </w:r>
      <w:r w:rsidR="00EB131F" w:rsidRPr="00662F03">
        <w:rPr>
          <w:rFonts w:ascii="Calibri" w:hAnsi="Calibri" w:cs="Tahoma"/>
          <w:sz w:val="22"/>
          <w:szCs w:val="22"/>
        </w:rPr>
        <w:t xml:space="preserve">wykształcone i zachowane płaty </w:t>
      </w:r>
      <w:r w:rsidR="009B7846" w:rsidRPr="00662F03">
        <w:rPr>
          <w:rFonts w:ascii="Calibri" w:hAnsi="Calibri" w:cs="Tahoma"/>
          <w:sz w:val="22"/>
          <w:szCs w:val="22"/>
        </w:rPr>
        <w:t>wciąż zalewanych lasów łęgowych i niskich grądów. Ponadto, obszar stanowi ważny korytarz ekologiczny.</w:t>
      </w:r>
    </w:p>
    <w:p w:rsidR="00A05146" w:rsidRPr="00662F03" w:rsidRDefault="005456B3"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br w:type="column"/>
      </w:r>
      <w:bookmarkStart w:id="50" w:name="_Toc315790452"/>
      <w:r w:rsidR="00A05146" w:rsidRPr="00662F03">
        <w:rPr>
          <w:rFonts w:ascii="Calibri" w:hAnsi="Calibri" w:cs="Tahoma"/>
          <w:sz w:val="20"/>
          <w:szCs w:val="22"/>
        </w:rPr>
        <w:lastRenderedPageBreak/>
        <w:t xml:space="preserve">Rysunek </w:t>
      </w:r>
      <w:r w:rsidR="005433B6" w:rsidRPr="00662F03">
        <w:rPr>
          <w:rFonts w:ascii="Calibri" w:hAnsi="Calibri" w:cs="Tahoma"/>
          <w:sz w:val="20"/>
          <w:szCs w:val="22"/>
        </w:rPr>
        <w:fldChar w:fldCharType="begin"/>
      </w:r>
      <w:r w:rsidR="00A05146" w:rsidRPr="00662F03">
        <w:rPr>
          <w:rFonts w:ascii="Calibri" w:hAnsi="Calibri" w:cs="Tahoma"/>
          <w:sz w:val="20"/>
          <w:szCs w:val="22"/>
        </w:rPr>
        <w:instrText xml:space="preserve"> SEQ Rysunek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1</w:t>
      </w:r>
      <w:r w:rsidR="005433B6" w:rsidRPr="00662F03">
        <w:rPr>
          <w:rFonts w:ascii="Calibri" w:hAnsi="Calibri" w:cs="Tahoma"/>
          <w:sz w:val="20"/>
          <w:szCs w:val="22"/>
        </w:rPr>
        <w:fldChar w:fldCharType="end"/>
      </w:r>
      <w:r w:rsidR="00123EB4">
        <w:rPr>
          <w:rFonts w:ascii="Calibri" w:hAnsi="Calibri" w:cs="Tahoma"/>
          <w:sz w:val="20"/>
          <w:szCs w:val="22"/>
        </w:rPr>
        <w:t>. Obszar Natura 2000.</w:t>
      </w:r>
      <w:bookmarkEnd w:id="50"/>
    </w:p>
    <w:p w:rsidR="0097472E" w:rsidRPr="00662F03" w:rsidRDefault="00447D1D" w:rsidP="004E5A9A">
      <w:pPr>
        <w:shd w:val="clear" w:color="auto" w:fill="FFFFFF"/>
        <w:spacing w:before="150" w:after="75"/>
        <w:jc w:val="both"/>
        <w:outlineLvl w:val="3"/>
        <w:rPr>
          <w:rFonts w:ascii="Calibri" w:hAnsi="Calibri" w:cs="Tahoma"/>
          <w:sz w:val="20"/>
          <w:szCs w:val="22"/>
        </w:rPr>
      </w:pPr>
      <w:r w:rsidRPr="00662F03">
        <w:rPr>
          <w:rFonts w:ascii="Calibri" w:hAnsi="Calibri" w:cs="Tahoma"/>
          <w:sz w:val="20"/>
          <w:szCs w:val="22"/>
        </w:rPr>
        <w:t>Źródło: http://natura2000.gdos.gov.pl</w:t>
      </w:r>
    </w:p>
    <w:p w:rsidR="005456B3" w:rsidRPr="00662F03" w:rsidRDefault="005456B3" w:rsidP="004E5A9A">
      <w:pPr>
        <w:shd w:val="clear" w:color="auto" w:fill="FFFFFF"/>
        <w:spacing w:before="150" w:after="75"/>
        <w:jc w:val="both"/>
        <w:outlineLvl w:val="3"/>
        <w:rPr>
          <w:rFonts w:ascii="Calibri" w:hAnsi="Calibri" w:cs="Tahoma"/>
          <w:sz w:val="22"/>
          <w:szCs w:val="22"/>
        </w:rPr>
        <w:sectPr w:rsidR="005456B3" w:rsidRPr="00662F03" w:rsidSect="005456B3">
          <w:type w:val="continuous"/>
          <w:pgSz w:w="11906" w:h="16838"/>
          <w:pgMar w:top="1098" w:right="1417" w:bottom="1417" w:left="1417" w:header="708" w:footer="708" w:gutter="0"/>
          <w:cols w:num="2" w:space="566"/>
          <w:titlePg/>
          <w:docGrid w:linePitch="360"/>
        </w:sectPr>
      </w:pPr>
    </w:p>
    <w:p w:rsidR="001F32EC" w:rsidRPr="00662F03" w:rsidRDefault="001F32EC" w:rsidP="00F7232F">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lastRenderedPageBreak/>
        <w:t>Dodatkowo w bezpośredniej bliskości od granic miasta (w zakresie powiązań przyrodniczych) zlokalizowane są d</w:t>
      </w:r>
      <w:r w:rsidR="00FE393D">
        <w:rPr>
          <w:rFonts w:ascii="Calibri" w:hAnsi="Calibri" w:cs="Tahoma"/>
          <w:sz w:val="22"/>
          <w:szCs w:val="22"/>
        </w:rPr>
        <w:t>wie</w:t>
      </w:r>
      <w:r w:rsidRPr="00662F03">
        <w:rPr>
          <w:rFonts w:ascii="Calibri" w:hAnsi="Calibri" w:cs="Tahoma"/>
          <w:sz w:val="22"/>
          <w:szCs w:val="22"/>
        </w:rPr>
        <w:t xml:space="preserve"> istotne dla tego regionu wielkopowierzchniowe formy ochrony przyrody. Są to:</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t>Przemęcki Park Krajobrazowy;</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t>Przemkowski Park Krajobrazowy;</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lastRenderedPageBreak/>
        <w:t>Obszar Chronione</w:t>
      </w:r>
      <w:r w:rsidR="00FE393D">
        <w:rPr>
          <w:rFonts w:cs="Tahoma"/>
        </w:rPr>
        <w:t>go Krajobrazu „Rynny Obrzycko-</w:t>
      </w:r>
      <w:r w:rsidRPr="00662F03">
        <w:rPr>
          <w:rFonts w:cs="Tahoma"/>
        </w:rPr>
        <w:t>Obrzańskie”;</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t>Obszar Chronionego K</w:t>
      </w:r>
      <w:r w:rsidR="00FE393D">
        <w:rPr>
          <w:rFonts w:cs="Tahoma"/>
        </w:rPr>
        <w:t>rajobrazu „Pojezierze Sławsko-</w:t>
      </w:r>
      <w:r w:rsidRPr="00662F03">
        <w:rPr>
          <w:rFonts w:cs="Tahoma"/>
        </w:rPr>
        <w:t>Przemęckie”;</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t>Obszar Chronionego Krajobrazu „Wzgórza Dalkowskie I” i „Wzgórza Dalkowskie II”;</w:t>
      </w:r>
    </w:p>
    <w:p w:rsidR="001F32EC" w:rsidRPr="00662F03" w:rsidRDefault="001F32EC" w:rsidP="001B1ABD">
      <w:pPr>
        <w:pStyle w:val="Akapitzlist"/>
        <w:numPr>
          <w:ilvl w:val="0"/>
          <w:numId w:val="46"/>
        </w:numPr>
        <w:shd w:val="clear" w:color="auto" w:fill="FFFFFF"/>
        <w:spacing w:after="0" w:line="240" w:lineRule="auto"/>
        <w:ind w:left="714" w:hanging="357"/>
        <w:jc w:val="both"/>
        <w:outlineLvl w:val="3"/>
        <w:rPr>
          <w:rFonts w:cs="Tahoma"/>
        </w:rPr>
      </w:pPr>
      <w:r w:rsidRPr="00662F03">
        <w:rPr>
          <w:rFonts w:cs="Tahoma"/>
        </w:rPr>
        <w:t>Obszar Chronionego Krajobrazu „Dolina Śląskiej Ochli”.</w:t>
      </w:r>
    </w:p>
    <w:p w:rsidR="005F5F36" w:rsidRPr="00662F03" w:rsidRDefault="00C304DD"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Generalnie obszar miasta charakteryzuje się gęstą i zróżnicowaną </w:t>
      </w:r>
      <w:r w:rsidR="00EB131F" w:rsidRPr="00662F03">
        <w:rPr>
          <w:rFonts w:ascii="Calibri" w:hAnsi="Calibri" w:cs="Tahoma"/>
          <w:sz w:val="22"/>
          <w:szCs w:val="22"/>
        </w:rPr>
        <w:t>siecią</w:t>
      </w:r>
      <w:r w:rsidRPr="00662F03">
        <w:rPr>
          <w:rFonts w:ascii="Calibri" w:hAnsi="Calibri" w:cs="Tahoma"/>
          <w:sz w:val="22"/>
          <w:szCs w:val="22"/>
        </w:rPr>
        <w:t xml:space="preserve"> hydrograficzną. W układzie sieci rzecznej rejonu Nowej Soli charakterystyczny jest łamany kształt cieków. </w:t>
      </w:r>
      <w:r w:rsidR="005F5F36" w:rsidRPr="00662F03">
        <w:rPr>
          <w:rFonts w:ascii="Calibri" w:hAnsi="Calibri" w:cs="Tahoma"/>
          <w:sz w:val="22"/>
          <w:szCs w:val="22"/>
        </w:rPr>
        <w:t>Odra stanowi zarówno główną oś ekologiczną, jak i hydrograficzną terenów miasta. Ocena stanu ekologicznego</w:t>
      </w:r>
      <w:r w:rsidR="002B0857" w:rsidRPr="00662F03">
        <w:rPr>
          <w:rFonts w:ascii="Calibri" w:hAnsi="Calibri" w:cs="Tahoma"/>
          <w:sz w:val="22"/>
          <w:szCs w:val="22"/>
        </w:rPr>
        <w:t>, chemicznego oraz jakości</w:t>
      </w:r>
      <w:r w:rsidR="005F5F36" w:rsidRPr="00662F03">
        <w:rPr>
          <w:rFonts w:ascii="Calibri" w:hAnsi="Calibri" w:cs="Tahoma"/>
          <w:sz w:val="22"/>
          <w:szCs w:val="22"/>
        </w:rPr>
        <w:t xml:space="preserve"> wód rzeki </w:t>
      </w:r>
      <w:r w:rsidR="001917BC" w:rsidRPr="00662F03">
        <w:rPr>
          <w:rFonts w:ascii="Calibri" w:hAnsi="Calibri" w:cs="Tahoma"/>
          <w:sz w:val="22"/>
          <w:szCs w:val="22"/>
        </w:rPr>
        <w:t xml:space="preserve">na podstawie badań wykonanych w 2009 r. m.in. w punkcie pomiarowo-kontrolnym powyżej Nowej Soli wskazywała na </w:t>
      </w:r>
      <w:r w:rsidR="002B0857" w:rsidRPr="00662F03">
        <w:rPr>
          <w:rFonts w:ascii="Calibri" w:hAnsi="Calibri" w:cs="Tahoma"/>
          <w:sz w:val="22"/>
          <w:szCs w:val="22"/>
        </w:rPr>
        <w:t>ogólnie zły stan wód. O ocenie zdecydowało zbyt wysokie stężenie substancji rozpuszczonych w wodzie, zbyt wysok</w:t>
      </w:r>
      <w:r w:rsidR="00EB131F" w:rsidRPr="00662F03">
        <w:rPr>
          <w:rFonts w:ascii="Calibri" w:hAnsi="Calibri" w:cs="Tahoma"/>
          <w:sz w:val="22"/>
          <w:szCs w:val="22"/>
        </w:rPr>
        <w:t>a</w:t>
      </w:r>
      <w:r w:rsidR="002B0857" w:rsidRPr="00662F03">
        <w:rPr>
          <w:rFonts w:ascii="Calibri" w:hAnsi="Calibri" w:cs="Tahoma"/>
          <w:sz w:val="22"/>
          <w:szCs w:val="22"/>
        </w:rPr>
        <w:t xml:space="preserve"> zawartość substancji biogennych (związków fosforu i azotu) oraz zanieczyszczeń organicznych</w:t>
      </w:r>
      <w:r w:rsidR="002B0857" w:rsidRPr="00662F03">
        <w:rPr>
          <w:rFonts w:ascii="Calibri" w:hAnsi="Calibri" w:cs="Tahoma"/>
          <w:sz w:val="20"/>
          <w:szCs w:val="22"/>
          <w:vertAlign w:val="superscript"/>
        </w:rPr>
        <w:footnoteReference w:id="14"/>
      </w:r>
      <w:r w:rsidR="002B0857" w:rsidRPr="00662F03">
        <w:rPr>
          <w:rFonts w:ascii="Calibri" w:hAnsi="Calibri" w:cs="Tahoma"/>
          <w:sz w:val="22"/>
          <w:szCs w:val="22"/>
        </w:rPr>
        <w:t>.</w:t>
      </w:r>
      <w:r w:rsidR="001E68A5" w:rsidRPr="00662F03">
        <w:rPr>
          <w:rFonts w:ascii="Calibri" w:hAnsi="Calibri" w:cs="Tahoma"/>
          <w:sz w:val="22"/>
          <w:szCs w:val="22"/>
        </w:rPr>
        <w:t xml:space="preserve"> Jakość wód Odry nie pozwala na jej gospodarcze wykorzystanie. Na ten stan bezpośredni wpływ mają zrzuty zanieczyszczeń w całej zlewni Odry, pochodzące z terenu Czech i Polski w całym jej biegu.</w:t>
      </w:r>
      <w:r w:rsidR="008217AA" w:rsidRPr="00662F03">
        <w:rPr>
          <w:rFonts w:ascii="Calibri" w:hAnsi="Calibri" w:cs="Tahoma"/>
          <w:sz w:val="22"/>
          <w:szCs w:val="22"/>
        </w:rPr>
        <w:t xml:space="preserve"> Największym dopływem Odry na terenie miasta Nowa Sól jest rzeka Czarna Struga, która również cechuje się złym stanem wód. </w:t>
      </w:r>
      <w:r w:rsidRPr="00662F03">
        <w:rPr>
          <w:rFonts w:ascii="Calibri" w:hAnsi="Calibri" w:cs="Tahoma"/>
          <w:sz w:val="22"/>
          <w:szCs w:val="22"/>
        </w:rPr>
        <w:t xml:space="preserve">Do pozostałych ważniejszych cieków przepływających przez Nową Sól należą: Czarna Strużka, Rudzica (Rudnianka) oraz Solanka. Rzeki te płyną w kierunku wschodnim i północno-wschodnim i wszystkie są lewobrzeżnymi dopływami Odry. </w:t>
      </w:r>
      <w:r w:rsidR="008217AA" w:rsidRPr="00662F03">
        <w:rPr>
          <w:rFonts w:ascii="Calibri" w:hAnsi="Calibri" w:cs="Tahoma"/>
          <w:sz w:val="22"/>
          <w:szCs w:val="22"/>
        </w:rPr>
        <w:t xml:space="preserve">Ponadto stosunki hydrograficzne terenów miasta i gminy kształtują liczne cieki wodne i rowy odwadniające, stawy, tereny podmokłe oraz wody podziemne. </w:t>
      </w:r>
      <w:r w:rsidR="00327549" w:rsidRPr="00662F03">
        <w:rPr>
          <w:rFonts w:ascii="Calibri" w:hAnsi="Calibri" w:cs="Tahoma"/>
          <w:sz w:val="22"/>
          <w:szCs w:val="22"/>
        </w:rPr>
        <w:t>W</w:t>
      </w:r>
      <w:r w:rsidR="008217AA" w:rsidRPr="00662F03">
        <w:rPr>
          <w:rFonts w:ascii="Calibri" w:hAnsi="Calibri" w:cs="Tahoma"/>
          <w:sz w:val="22"/>
          <w:szCs w:val="22"/>
        </w:rPr>
        <w:t>iększość rowów melioracyjnych oraz system obwałowań chroniących miasto przed powodzią zostały uszkodzone wskutek wystąpienia powodzi w 1997 r., wymagają gruntownej modernizacji.</w:t>
      </w:r>
    </w:p>
    <w:p w:rsidR="00D84DC1" w:rsidRPr="00662F03" w:rsidRDefault="00AA32B2"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Powiat nowosolski jest ostatnim powiatem w województwie pod względem zużycia wody.</w:t>
      </w:r>
      <w:r w:rsidR="005201B3" w:rsidRPr="00662F03">
        <w:rPr>
          <w:rFonts w:ascii="Calibri" w:hAnsi="Calibri" w:cs="Tahoma"/>
          <w:sz w:val="22"/>
          <w:szCs w:val="22"/>
        </w:rPr>
        <w:t xml:space="preserve"> Najwyższe zużycie wody w powiecie na potrzeby gospodarki narodowej i gospodarstw domowych w przeliczeniu na 1 mieszkańca od</w:t>
      </w:r>
      <w:r w:rsidR="000563D4" w:rsidRPr="00662F03">
        <w:rPr>
          <w:rFonts w:ascii="Calibri" w:hAnsi="Calibri" w:cs="Tahoma"/>
          <w:sz w:val="22"/>
          <w:szCs w:val="22"/>
        </w:rPr>
        <w:t>notowano w mieście Nowa Sól około 42</w:t>
      </w:r>
      <w:r w:rsidR="005201B3" w:rsidRPr="00662F03">
        <w:rPr>
          <w:rFonts w:ascii="Calibri" w:hAnsi="Calibri" w:cs="Tahoma"/>
          <w:sz w:val="22"/>
          <w:szCs w:val="22"/>
        </w:rPr>
        <w:t xml:space="preserve"> m</w:t>
      </w:r>
      <w:r w:rsidR="005201B3" w:rsidRPr="00662F03">
        <w:rPr>
          <w:rFonts w:ascii="Calibri" w:hAnsi="Calibri" w:cs="Tahoma"/>
          <w:sz w:val="22"/>
          <w:szCs w:val="22"/>
          <w:vertAlign w:val="superscript"/>
        </w:rPr>
        <w:t>3</w:t>
      </w:r>
      <w:r w:rsidR="005201B3" w:rsidRPr="00662F03">
        <w:rPr>
          <w:rFonts w:ascii="Calibri" w:hAnsi="Calibri" w:cs="Tahoma"/>
          <w:sz w:val="22"/>
          <w:szCs w:val="22"/>
        </w:rPr>
        <w:t xml:space="preserve">, tj. o </w:t>
      </w:r>
      <w:r w:rsidR="000563D4" w:rsidRPr="00662F03">
        <w:rPr>
          <w:rFonts w:ascii="Calibri" w:hAnsi="Calibri" w:cs="Tahoma"/>
          <w:sz w:val="22"/>
          <w:szCs w:val="22"/>
        </w:rPr>
        <w:t>prawie 7 </w:t>
      </w:r>
      <w:r w:rsidR="005201B3" w:rsidRPr="00662F03">
        <w:rPr>
          <w:rFonts w:ascii="Calibri" w:hAnsi="Calibri" w:cs="Tahoma"/>
          <w:sz w:val="22"/>
          <w:szCs w:val="22"/>
        </w:rPr>
        <w:t>m</w:t>
      </w:r>
      <w:r w:rsidR="005201B3" w:rsidRPr="00662F03">
        <w:rPr>
          <w:rFonts w:ascii="Calibri" w:hAnsi="Calibri" w:cs="Tahoma"/>
          <w:sz w:val="22"/>
          <w:szCs w:val="22"/>
          <w:vertAlign w:val="superscript"/>
        </w:rPr>
        <w:t>3</w:t>
      </w:r>
      <w:r w:rsidR="000563D4" w:rsidRPr="00662F03">
        <w:rPr>
          <w:rFonts w:ascii="Calibri" w:hAnsi="Calibri" w:cs="Tahoma"/>
          <w:sz w:val="22"/>
          <w:szCs w:val="22"/>
        </w:rPr>
        <w:t xml:space="preserve"> więcej niż w powiecie, a o 46 </w:t>
      </w:r>
      <w:r w:rsidR="005201B3" w:rsidRPr="00662F03">
        <w:rPr>
          <w:rFonts w:ascii="Calibri" w:hAnsi="Calibri" w:cs="Tahoma"/>
          <w:sz w:val="22"/>
          <w:szCs w:val="22"/>
        </w:rPr>
        <w:t>m</w:t>
      </w:r>
      <w:r w:rsidR="005201B3" w:rsidRPr="00662F03">
        <w:rPr>
          <w:rFonts w:ascii="Calibri" w:hAnsi="Calibri" w:cs="Tahoma"/>
          <w:sz w:val="22"/>
          <w:szCs w:val="22"/>
          <w:vertAlign w:val="superscript"/>
        </w:rPr>
        <w:t>3</w:t>
      </w:r>
      <w:r w:rsidR="005201B3" w:rsidRPr="00662F03">
        <w:rPr>
          <w:rFonts w:ascii="Calibri" w:hAnsi="Calibri" w:cs="Tahoma"/>
          <w:sz w:val="22"/>
          <w:szCs w:val="22"/>
        </w:rPr>
        <w:t xml:space="preserve"> mniej niż średnio w województwie lubuskim.</w:t>
      </w:r>
      <w:r w:rsidR="00B35435" w:rsidRPr="00662F03">
        <w:rPr>
          <w:rFonts w:ascii="Calibri" w:hAnsi="Calibri" w:cs="Tahoma"/>
          <w:sz w:val="22"/>
          <w:szCs w:val="22"/>
        </w:rPr>
        <w:t xml:space="preserve"> Najwięcej</w:t>
      </w:r>
      <w:r w:rsidR="000563D4" w:rsidRPr="00662F03">
        <w:rPr>
          <w:rFonts w:ascii="Calibri" w:hAnsi="Calibri" w:cs="Tahoma"/>
          <w:sz w:val="22"/>
          <w:szCs w:val="22"/>
        </w:rPr>
        <w:t xml:space="preserve"> – 70</w:t>
      </w:r>
      <w:r w:rsidR="00B35435" w:rsidRPr="00662F03">
        <w:rPr>
          <w:rFonts w:ascii="Calibri" w:hAnsi="Calibri" w:cs="Tahoma"/>
          <w:sz w:val="22"/>
          <w:szCs w:val="22"/>
        </w:rPr>
        <w:t>% zużytej wody – wykorzystano w</w:t>
      </w:r>
      <w:r w:rsidR="000563D4" w:rsidRPr="00662F03">
        <w:rPr>
          <w:rFonts w:ascii="Calibri" w:hAnsi="Calibri" w:cs="Tahoma"/>
          <w:sz w:val="22"/>
          <w:szCs w:val="22"/>
        </w:rPr>
        <w:t xml:space="preserve"> gospodarstwach domowych, a 14</w:t>
      </w:r>
      <w:r w:rsidR="00B35435" w:rsidRPr="00662F03">
        <w:rPr>
          <w:rFonts w:ascii="Calibri" w:hAnsi="Calibri" w:cs="Tahoma"/>
          <w:sz w:val="22"/>
          <w:szCs w:val="22"/>
        </w:rPr>
        <w:t>%</w:t>
      </w:r>
      <w:r w:rsidR="00E00BE5" w:rsidRPr="00662F03">
        <w:rPr>
          <w:rFonts w:ascii="Calibri" w:hAnsi="Calibri" w:cs="Tahoma"/>
          <w:sz w:val="22"/>
          <w:szCs w:val="22"/>
        </w:rPr>
        <w:t xml:space="preserve"> w przemyśle.</w:t>
      </w:r>
    </w:p>
    <w:p w:rsidR="00D0636D" w:rsidRPr="00662F03" w:rsidRDefault="00E00BE5"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2009 r. w powiecie nowosolskim odprowa</w:t>
      </w:r>
      <w:r w:rsidR="000563D4" w:rsidRPr="00662F03">
        <w:rPr>
          <w:rFonts w:ascii="Calibri" w:hAnsi="Calibri" w:cs="Tahoma"/>
          <w:sz w:val="22"/>
          <w:szCs w:val="22"/>
        </w:rPr>
        <w:t>dzono do wód lub do ziemi 2051</w:t>
      </w:r>
      <w:r w:rsidRPr="00662F03">
        <w:rPr>
          <w:rFonts w:ascii="Calibri" w:hAnsi="Calibri" w:cs="Tahoma"/>
          <w:sz w:val="22"/>
          <w:szCs w:val="22"/>
        </w:rPr>
        <w:t xml:space="preserve"> dam</w:t>
      </w:r>
      <w:r w:rsidRPr="00662F03">
        <w:rPr>
          <w:rFonts w:ascii="Calibri" w:hAnsi="Calibri" w:cs="Tahoma"/>
          <w:sz w:val="22"/>
          <w:szCs w:val="22"/>
          <w:vertAlign w:val="superscript"/>
        </w:rPr>
        <w:t>3</w:t>
      </w:r>
      <w:r w:rsidRPr="00662F03">
        <w:rPr>
          <w:rFonts w:ascii="Calibri" w:hAnsi="Calibri" w:cs="Tahoma"/>
          <w:sz w:val="22"/>
          <w:szCs w:val="22"/>
        </w:rPr>
        <w:t xml:space="preserve"> ścieków przemysłowych i komunalnych. Najwięcej ścieków odprowadzono w gminie miejskiej Nowa S</w:t>
      </w:r>
      <w:r w:rsidR="000563D4" w:rsidRPr="00662F03">
        <w:rPr>
          <w:rFonts w:ascii="Calibri" w:hAnsi="Calibri" w:cs="Tahoma"/>
          <w:sz w:val="22"/>
          <w:szCs w:val="22"/>
        </w:rPr>
        <w:t>ól (77</w:t>
      </w:r>
      <w:r w:rsidRPr="00662F03">
        <w:rPr>
          <w:rFonts w:ascii="Calibri" w:hAnsi="Calibri" w:cs="Tahoma"/>
          <w:sz w:val="22"/>
          <w:szCs w:val="22"/>
        </w:rPr>
        <w:t>% ogółu). Ponad 92% ścieków w Nowej Soli poddano oczyszczaniu, głównie biologicznemu (9</w:t>
      </w:r>
      <w:r w:rsidR="00002BDE" w:rsidRPr="00662F03">
        <w:rPr>
          <w:rFonts w:ascii="Calibri" w:hAnsi="Calibri" w:cs="Tahoma"/>
          <w:sz w:val="22"/>
          <w:szCs w:val="22"/>
        </w:rPr>
        <w:t>7</w:t>
      </w:r>
      <w:r w:rsidRPr="00662F03">
        <w:rPr>
          <w:rFonts w:ascii="Calibri" w:hAnsi="Calibri" w:cs="Tahoma"/>
          <w:sz w:val="22"/>
          <w:szCs w:val="22"/>
        </w:rPr>
        <w:t>% ogółu oczyszczonych ścieków)</w:t>
      </w:r>
      <w:r w:rsidR="00002BDE" w:rsidRPr="00662F03">
        <w:rPr>
          <w:rFonts w:ascii="Calibri" w:hAnsi="Calibri" w:cs="Tahoma"/>
          <w:sz w:val="22"/>
          <w:szCs w:val="22"/>
        </w:rPr>
        <w:t>. W powiecie nowosolskim oraz w mieście Nowa Sól 100% ścieków nieoczyszczanych odprowadzono siecią kanalizacyjną. Ludność korzystająca z oc</w:t>
      </w:r>
      <w:r w:rsidR="000563D4" w:rsidRPr="00662F03">
        <w:rPr>
          <w:rFonts w:ascii="Calibri" w:hAnsi="Calibri" w:cs="Tahoma"/>
          <w:sz w:val="22"/>
          <w:szCs w:val="22"/>
        </w:rPr>
        <w:t xml:space="preserve">zyszczalni ścieków stanowiła </w:t>
      </w:r>
      <w:r w:rsidR="00002BDE" w:rsidRPr="00662F03">
        <w:rPr>
          <w:rFonts w:ascii="Calibri" w:hAnsi="Calibri" w:cs="Tahoma"/>
          <w:sz w:val="22"/>
          <w:szCs w:val="22"/>
        </w:rPr>
        <w:t>9</w:t>
      </w:r>
      <w:r w:rsidR="000563D4" w:rsidRPr="00662F03">
        <w:rPr>
          <w:rFonts w:ascii="Calibri" w:hAnsi="Calibri" w:cs="Tahoma"/>
          <w:sz w:val="22"/>
          <w:szCs w:val="22"/>
        </w:rPr>
        <w:t>0</w:t>
      </w:r>
      <w:r w:rsidR="00002BDE" w:rsidRPr="00662F03">
        <w:rPr>
          <w:rFonts w:ascii="Calibri" w:hAnsi="Calibri" w:cs="Tahoma"/>
          <w:sz w:val="22"/>
          <w:szCs w:val="22"/>
        </w:rPr>
        <w:t>% ogółu mieszkańców Nowej Soli, wyższym odsetkiem ludności korzystającej z oczyszczalni ścieków legitymowały się miasta Bytom Odrzań</w:t>
      </w:r>
      <w:r w:rsidR="00327549" w:rsidRPr="00662F03">
        <w:rPr>
          <w:rFonts w:ascii="Calibri" w:hAnsi="Calibri" w:cs="Tahoma"/>
          <w:sz w:val="22"/>
          <w:szCs w:val="22"/>
        </w:rPr>
        <w:t xml:space="preserve">ski (97,6%) i </w:t>
      </w:r>
      <w:r w:rsidR="00002BDE" w:rsidRPr="00662F03">
        <w:rPr>
          <w:rFonts w:ascii="Calibri" w:hAnsi="Calibri" w:cs="Tahoma"/>
          <w:sz w:val="22"/>
          <w:szCs w:val="22"/>
        </w:rPr>
        <w:t>Nowe Miasteczko (93,8%). W powiecie z oczyszczalni ścieków korzystał</w:t>
      </w:r>
      <w:r w:rsidR="000563D4" w:rsidRPr="00662F03">
        <w:rPr>
          <w:rFonts w:ascii="Calibri" w:hAnsi="Calibri" w:cs="Tahoma"/>
          <w:sz w:val="22"/>
          <w:szCs w:val="22"/>
        </w:rPr>
        <w:t>o tylko 55</w:t>
      </w:r>
      <w:r w:rsidR="00002BDE" w:rsidRPr="00662F03">
        <w:rPr>
          <w:rFonts w:ascii="Calibri" w:hAnsi="Calibri" w:cs="Tahoma"/>
          <w:sz w:val="22"/>
          <w:szCs w:val="22"/>
        </w:rPr>
        <w:t>% mieszkańców.</w:t>
      </w:r>
    </w:p>
    <w:p w:rsidR="00E00BE5" w:rsidRPr="00662F03" w:rsidRDefault="005E0EAE"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Większość ścieków bytowo-gospodarczych, pochodząca z obszaru zabudowy odprowadzana jest przy pomocy sieci kanalizacji do miejskiej oczyszczalni ścieków przy ul. Polnej w Nowej Soli. </w:t>
      </w:r>
      <w:r w:rsidR="00306E0C" w:rsidRPr="00662F03">
        <w:rPr>
          <w:rFonts w:ascii="Calibri" w:hAnsi="Calibri" w:cs="Tahoma"/>
          <w:sz w:val="22"/>
          <w:szCs w:val="22"/>
        </w:rPr>
        <w:t>Centralna Oczyszczalnia</w:t>
      </w:r>
      <w:r w:rsidR="00002BDE" w:rsidRPr="00662F03">
        <w:rPr>
          <w:rFonts w:ascii="Calibri" w:hAnsi="Calibri" w:cs="Tahoma"/>
          <w:sz w:val="22"/>
          <w:szCs w:val="22"/>
        </w:rPr>
        <w:t xml:space="preserve"> Ścieków w Nowej Soli została oddana </w:t>
      </w:r>
      <w:r w:rsidR="007049F8" w:rsidRPr="00662F03">
        <w:rPr>
          <w:rFonts w:ascii="Calibri" w:hAnsi="Calibri" w:cs="Tahoma"/>
          <w:sz w:val="22"/>
          <w:szCs w:val="22"/>
        </w:rPr>
        <w:t xml:space="preserve">do eksploatacji w 1999 roku. </w:t>
      </w:r>
      <w:r w:rsidR="00002BDE" w:rsidRPr="00662F03">
        <w:rPr>
          <w:rFonts w:ascii="Calibri" w:hAnsi="Calibri" w:cs="Tahoma"/>
          <w:sz w:val="22"/>
          <w:szCs w:val="22"/>
        </w:rPr>
        <w:t>Układ technologiczny oczyszczania ściek</w:t>
      </w:r>
      <w:r w:rsidR="007049F8" w:rsidRPr="00662F03">
        <w:rPr>
          <w:rFonts w:ascii="Calibri" w:hAnsi="Calibri" w:cs="Tahoma"/>
          <w:sz w:val="22"/>
          <w:szCs w:val="22"/>
        </w:rPr>
        <w:t>ów oparty jest na mechaniczno-</w:t>
      </w:r>
      <w:r w:rsidR="00002BDE" w:rsidRPr="00662F03">
        <w:rPr>
          <w:rFonts w:ascii="Calibri" w:hAnsi="Calibri" w:cs="Tahoma"/>
          <w:sz w:val="22"/>
          <w:szCs w:val="22"/>
        </w:rPr>
        <w:t>biologicznym oczyszczaniu z chemicznym strącaniem fosforu. Zgodnie z projektem oczyszczalnia może przyjmować 15000 m</w:t>
      </w:r>
      <w:r w:rsidR="00002BDE" w:rsidRPr="00662F03">
        <w:rPr>
          <w:rFonts w:ascii="Calibri" w:hAnsi="Calibri" w:cs="Tahoma"/>
          <w:sz w:val="22"/>
          <w:szCs w:val="22"/>
          <w:vertAlign w:val="superscript"/>
        </w:rPr>
        <w:t>3</w:t>
      </w:r>
      <w:r w:rsidR="00327549" w:rsidRPr="00662F03">
        <w:rPr>
          <w:rFonts w:ascii="Calibri" w:hAnsi="Calibri" w:cs="Tahoma"/>
          <w:sz w:val="22"/>
          <w:szCs w:val="22"/>
        </w:rPr>
        <w:t xml:space="preserve"> ścieków na </w:t>
      </w:r>
      <w:r w:rsidR="00002BDE" w:rsidRPr="00662F03">
        <w:rPr>
          <w:rFonts w:ascii="Calibri" w:hAnsi="Calibri" w:cs="Tahoma"/>
          <w:sz w:val="22"/>
          <w:szCs w:val="22"/>
        </w:rPr>
        <w:t>d</w:t>
      </w:r>
      <w:r w:rsidR="00327549" w:rsidRPr="00662F03">
        <w:rPr>
          <w:rFonts w:ascii="Calibri" w:hAnsi="Calibri" w:cs="Tahoma"/>
          <w:sz w:val="22"/>
          <w:szCs w:val="22"/>
        </w:rPr>
        <w:t>obę</w:t>
      </w:r>
      <w:r w:rsidR="00002BDE" w:rsidRPr="00662F03">
        <w:rPr>
          <w:rFonts w:ascii="Calibri" w:hAnsi="Calibri" w:cs="Tahoma"/>
          <w:sz w:val="22"/>
          <w:szCs w:val="22"/>
        </w:rPr>
        <w:t xml:space="preserve">. </w:t>
      </w:r>
      <w:r w:rsidR="007049F8" w:rsidRPr="00662F03">
        <w:rPr>
          <w:rFonts w:ascii="Calibri" w:hAnsi="Calibri" w:cs="Tahoma"/>
          <w:sz w:val="22"/>
          <w:szCs w:val="22"/>
        </w:rPr>
        <w:t>Centralna Przepompownia Ścieków powstała pod koniec lat 90-tych na bazie poniemieckiej oczyszczalni mechanicznej. Na Centralnej Przepompowni ścieków zachodzi wstępne, mechaniczne oczyszczanie ś</w:t>
      </w:r>
      <w:r w:rsidR="00327549" w:rsidRPr="00662F03">
        <w:rPr>
          <w:rFonts w:ascii="Calibri" w:hAnsi="Calibri" w:cs="Tahoma"/>
          <w:sz w:val="22"/>
          <w:szCs w:val="22"/>
        </w:rPr>
        <w:t>cieków na kracie mechaniczno</w:t>
      </w:r>
      <w:r w:rsidR="007049F8" w:rsidRPr="00662F03">
        <w:rPr>
          <w:rFonts w:ascii="Calibri" w:hAnsi="Calibri" w:cs="Tahoma"/>
          <w:sz w:val="22"/>
          <w:szCs w:val="22"/>
        </w:rPr>
        <w:t>-schodkowej i piaskowniku. Oczyszczone ścieki odprowadzane są do odbiornika, którym jest rzeczka Czarna Struga, a osad kierowany jest do przeróbki.</w:t>
      </w:r>
      <w:r w:rsidRPr="00662F03">
        <w:rPr>
          <w:rFonts w:ascii="Calibri" w:hAnsi="Calibri" w:cs="Tahoma"/>
          <w:sz w:val="22"/>
          <w:szCs w:val="22"/>
        </w:rPr>
        <w:t xml:space="preserve"> Ścieki z terenów nieskanalizowanych zbierane są w zbiornikach przydomowych i wywożone do oczyszczalni ścieków. Pomimo znacznych inwestycji system kanalizacji sanitarnej nie pokrywa się z zasięgiem miejskiej sieci wodociągowej.</w:t>
      </w:r>
    </w:p>
    <w:p w:rsidR="00D0636D" w:rsidRPr="00662F03" w:rsidRDefault="00D0636D"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 xml:space="preserve">Władze miejskie przywiązują duże znaczenie do szeroko pojętej problematyki ekologicznej, w tym edukacyjnej. </w:t>
      </w:r>
      <w:r w:rsidR="00663156" w:rsidRPr="00662F03">
        <w:rPr>
          <w:rFonts w:ascii="Calibri" w:hAnsi="Calibri" w:cs="Tahoma"/>
          <w:sz w:val="22"/>
          <w:szCs w:val="22"/>
        </w:rPr>
        <w:t>Każdego roku Urząd Miejski Nowa Sól wspiera finansowo działalność edukacyjno-ekologiczną placówek oświatowych oraz innych organizacji i stowarzyszeń ekologicznych działających na terenie miasta Nowa Sól. Urząd Miejski Now</w:t>
      </w:r>
      <w:r w:rsidR="006020D0">
        <w:rPr>
          <w:rFonts w:ascii="Calibri" w:hAnsi="Calibri" w:cs="Tahoma"/>
          <w:sz w:val="22"/>
          <w:szCs w:val="22"/>
        </w:rPr>
        <w:t>ej</w:t>
      </w:r>
      <w:r w:rsidR="00663156" w:rsidRPr="00662F03">
        <w:rPr>
          <w:rFonts w:ascii="Calibri" w:hAnsi="Calibri" w:cs="Tahoma"/>
          <w:sz w:val="22"/>
          <w:szCs w:val="22"/>
        </w:rPr>
        <w:t xml:space="preserve"> S</w:t>
      </w:r>
      <w:r w:rsidR="006020D0">
        <w:rPr>
          <w:rFonts w:ascii="Calibri" w:hAnsi="Calibri" w:cs="Tahoma"/>
          <w:sz w:val="22"/>
          <w:szCs w:val="22"/>
        </w:rPr>
        <w:t>oli</w:t>
      </w:r>
      <w:r w:rsidR="00663156" w:rsidRPr="00662F03">
        <w:rPr>
          <w:rFonts w:ascii="Calibri" w:hAnsi="Calibri" w:cs="Tahoma"/>
          <w:sz w:val="22"/>
          <w:szCs w:val="22"/>
        </w:rPr>
        <w:t xml:space="preserve"> włącza się także do ogólnoświatowej akcji „Sprzątanie Świata” oraz „Dzień Ziemi”. Ponadto strona</w:t>
      </w:r>
      <w:r w:rsidR="00327549" w:rsidRPr="00662F03">
        <w:rPr>
          <w:rFonts w:ascii="Calibri" w:hAnsi="Calibri" w:cs="Tahoma"/>
          <w:sz w:val="22"/>
          <w:szCs w:val="22"/>
        </w:rPr>
        <w:t xml:space="preserve"> internetowa</w:t>
      </w:r>
      <w:r w:rsidR="00663156" w:rsidRPr="00662F03">
        <w:rPr>
          <w:rFonts w:ascii="Calibri" w:hAnsi="Calibri" w:cs="Tahoma"/>
          <w:sz w:val="22"/>
          <w:szCs w:val="22"/>
        </w:rPr>
        <w:t xml:space="preserve"> http://dobreradynaodpady.pl/ otrzymała wyróżnienie w konkursie na najciekawsze strony internetowe poświęcone odpadom.</w:t>
      </w:r>
    </w:p>
    <w:p w:rsidR="00A348F7" w:rsidRPr="00662F03" w:rsidRDefault="001A2BD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przeprowadzonej przez Wojewódzki Inspektorat Ochrony Ś</w:t>
      </w:r>
      <w:r w:rsidR="00327549" w:rsidRPr="00662F03">
        <w:rPr>
          <w:rFonts w:ascii="Calibri" w:hAnsi="Calibri" w:cs="Tahoma"/>
          <w:sz w:val="22"/>
          <w:szCs w:val="22"/>
        </w:rPr>
        <w:t>rodowiska w Zielonej Górze oc</w:t>
      </w:r>
      <w:r w:rsidR="00AD6143" w:rsidRPr="00662F03">
        <w:rPr>
          <w:rFonts w:ascii="Calibri" w:hAnsi="Calibri" w:cs="Tahoma"/>
          <w:sz w:val="22"/>
          <w:szCs w:val="22"/>
        </w:rPr>
        <w:t>eny</w:t>
      </w:r>
      <w:r w:rsidRPr="00662F03">
        <w:rPr>
          <w:rFonts w:ascii="Calibri" w:hAnsi="Calibri" w:cs="Tahoma"/>
          <w:sz w:val="22"/>
          <w:szCs w:val="22"/>
        </w:rPr>
        <w:t xml:space="preserve"> jakości powietrza w strefie nowosolsko-wschowskiej wystąpiła zwiększona liczba prze</w:t>
      </w:r>
      <w:r w:rsidR="00AD6143" w:rsidRPr="00662F03">
        <w:rPr>
          <w:rFonts w:ascii="Calibri" w:hAnsi="Calibri" w:cs="Tahoma"/>
          <w:sz w:val="22"/>
          <w:szCs w:val="22"/>
        </w:rPr>
        <w:t>kroczeń poziomu dopuszczalnego stężenia</w:t>
      </w:r>
      <w:r w:rsidRPr="00662F03">
        <w:rPr>
          <w:rFonts w:ascii="Calibri" w:hAnsi="Calibri" w:cs="Tahoma"/>
          <w:sz w:val="22"/>
          <w:szCs w:val="22"/>
        </w:rPr>
        <w:t xml:space="preserve"> pyłu zawieszonego w powietrzu PM10. Ponadto stężenie metali ciężkich zawartych w pyle zawieszonym kształtowało się znacznie powyżej poziomu dopuszczalnego. </w:t>
      </w:r>
      <w:r w:rsidR="00EC1D46" w:rsidRPr="00662F03">
        <w:rPr>
          <w:rFonts w:ascii="Calibri" w:hAnsi="Calibri" w:cs="Tahoma"/>
          <w:sz w:val="22"/>
          <w:szCs w:val="22"/>
        </w:rPr>
        <w:t>Z tego względu w</w:t>
      </w:r>
      <w:r w:rsidRPr="00662F03">
        <w:rPr>
          <w:rFonts w:ascii="Calibri" w:hAnsi="Calibri" w:cs="Tahoma"/>
          <w:sz w:val="22"/>
          <w:szCs w:val="22"/>
        </w:rPr>
        <w:t xml:space="preserve"> 20</w:t>
      </w:r>
      <w:r w:rsidR="00746299">
        <w:rPr>
          <w:rFonts w:ascii="Calibri" w:hAnsi="Calibri" w:cs="Tahoma"/>
          <w:sz w:val="22"/>
          <w:szCs w:val="22"/>
        </w:rPr>
        <w:t>10</w:t>
      </w:r>
      <w:r w:rsidRPr="00662F03">
        <w:rPr>
          <w:rFonts w:ascii="Calibri" w:hAnsi="Calibri" w:cs="Tahoma"/>
          <w:sz w:val="22"/>
          <w:szCs w:val="22"/>
        </w:rPr>
        <w:t xml:space="preserve"> roku został opracowany program ochrony powietrza dla strefy nowosolsko-wschowskiej.</w:t>
      </w:r>
      <w:r w:rsidR="000067FA" w:rsidRPr="00662F03">
        <w:rPr>
          <w:rFonts w:ascii="Calibri" w:hAnsi="Calibri" w:cs="Tahoma"/>
          <w:sz w:val="22"/>
          <w:szCs w:val="22"/>
        </w:rPr>
        <w:t xml:space="preserve"> Stacja </w:t>
      </w:r>
      <w:r w:rsidR="00746299">
        <w:rPr>
          <w:rFonts w:ascii="Calibri" w:hAnsi="Calibri" w:cs="Tahoma"/>
          <w:sz w:val="22"/>
          <w:szCs w:val="22"/>
        </w:rPr>
        <w:t>pomiarowa w Nowej Soli</w:t>
      </w:r>
      <w:r w:rsidR="000067FA" w:rsidRPr="00662F03">
        <w:rPr>
          <w:rFonts w:ascii="Calibri" w:hAnsi="Calibri" w:cs="Tahoma"/>
          <w:sz w:val="22"/>
          <w:szCs w:val="22"/>
        </w:rPr>
        <w:t xml:space="preserve"> </w:t>
      </w:r>
      <w:r w:rsidR="00746299">
        <w:rPr>
          <w:rFonts w:ascii="Calibri" w:hAnsi="Calibri" w:cs="Tahoma"/>
          <w:sz w:val="22"/>
          <w:szCs w:val="22"/>
        </w:rPr>
        <w:t>ustawiona</w:t>
      </w:r>
      <w:r w:rsidR="000067FA" w:rsidRPr="00662F03">
        <w:rPr>
          <w:rFonts w:ascii="Calibri" w:hAnsi="Calibri" w:cs="Tahoma"/>
          <w:sz w:val="22"/>
          <w:szCs w:val="22"/>
        </w:rPr>
        <w:t xml:space="preserve"> </w:t>
      </w:r>
      <w:r w:rsidR="00746299">
        <w:rPr>
          <w:rFonts w:ascii="Calibri" w:hAnsi="Calibri" w:cs="Tahoma"/>
          <w:sz w:val="22"/>
          <w:szCs w:val="22"/>
        </w:rPr>
        <w:t>została</w:t>
      </w:r>
      <w:r w:rsidR="000067FA" w:rsidRPr="00662F03">
        <w:rPr>
          <w:rFonts w:ascii="Calibri" w:hAnsi="Calibri" w:cs="Tahoma"/>
          <w:sz w:val="22"/>
          <w:szCs w:val="22"/>
        </w:rPr>
        <w:t xml:space="preserve"> przy ul. </w:t>
      </w:r>
      <w:r w:rsidR="00746299">
        <w:rPr>
          <w:rFonts w:ascii="Calibri" w:hAnsi="Calibri" w:cs="Tahoma"/>
          <w:sz w:val="22"/>
          <w:szCs w:val="22"/>
        </w:rPr>
        <w:t>Tadeusza Kościuszki, na terenie gimnazjum</w:t>
      </w:r>
      <w:r w:rsidR="000067FA" w:rsidRPr="00662F03">
        <w:rPr>
          <w:rFonts w:ascii="Calibri" w:hAnsi="Calibri" w:cs="Tahoma"/>
          <w:sz w:val="22"/>
          <w:szCs w:val="22"/>
        </w:rPr>
        <w:t>.</w:t>
      </w:r>
      <w:r w:rsidR="00EC1D46" w:rsidRPr="00662F03">
        <w:rPr>
          <w:rFonts w:ascii="Calibri" w:hAnsi="Calibri" w:cs="Tahoma"/>
          <w:sz w:val="22"/>
          <w:szCs w:val="22"/>
        </w:rPr>
        <w:t xml:space="preserve"> </w:t>
      </w:r>
      <w:r w:rsidR="00746299">
        <w:rPr>
          <w:rFonts w:ascii="Calibri" w:hAnsi="Calibri" w:cs="Tahoma"/>
          <w:sz w:val="22"/>
          <w:szCs w:val="22"/>
        </w:rPr>
        <w:t xml:space="preserve">Według danych z rocznej oceny jakości powietrza powodem przekroczeń </w:t>
      </w:r>
      <w:r w:rsidR="00044221">
        <w:rPr>
          <w:rFonts w:ascii="Calibri" w:hAnsi="Calibri" w:cs="Tahoma"/>
          <w:sz w:val="22"/>
          <w:szCs w:val="22"/>
        </w:rPr>
        <w:t xml:space="preserve">dopuszczalnego poziomu </w:t>
      </w:r>
      <w:r w:rsidR="00746299">
        <w:rPr>
          <w:rFonts w:ascii="Calibri" w:hAnsi="Calibri" w:cs="Tahoma"/>
          <w:sz w:val="22"/>
          <w:szCs w:val="22"/>
        </w:rPr>
        <w:t xml:space="preserve">mogły być źródła zlokalizowane w centrum miasta, szczególnie intensywny ruch samochodowy oraz indywidualne systemy ogrzewania budynków na terenie miasta. </w:t>
      </w:r>
      <w:r w:rsidR="00EC1D46" w:rsidRPr="00662F03">
        <w:rPr>
          <w:rFonts w:ascii="Calibri" w:hAnsi="Calibri" w:cs="Tahoma"/>
          <w:sz w:val="22"/>
          <w:szCs w:val="22"/>
        </w:rPr>
        <w:t xml:space="preserve">Na obszarze strefy nowosolsko-wschowskiej na jakość powietrza wpływają </w:t>
      </w:r>
      <w:r w:rsidR="00AD6143" w:rsidRPr="00662F03">
        <w:rPr>
          <w:rFonts w:ascii="Calibri" w:hAnsi="Calibri" w:cs="Tahoma"/>
          <w:sz w:val="22"/>
          <w:szCs w:val="22"/>
        </w:rPr>
        <w:t xml:space="preserve">również </w:t>
      </w:r>
      <w:r w:rsidR="00EC1D46" w:rsidRPr="00662F03">
        <w:rPr>
          <w:rFonts w:ascii="Calibri" w:hAnsi="Calibri" w:cs="Tahoma"/>
          <w:sz w:val="22"/>
          <w:szCs w:val="22"/>
        </w:rPr>
        <w:t xml:space="preserve">zanieczyszczenia spoza strefy (strefa nowosolsko-wschowska sąsiaduje z okręgiem głogowskim, gdzie występuje skupisko przetwórstwa miedzi: kopalnie i huty) </w:t>
      </w:r>
      <w:r w:rsidR="000A1059" w:rsidRPr="00662F03">
        <w:rPr>
          <w:rFonts w:ascii="Calibri" w:hAnsi="Calibri" w:cs="Tahoma"/>
          <w:sz w:val="22"/>
          <w:szCs w:val="22"/>
        </w:rPr>
        <w:t>oraz emisja ze strefy</w:t>
      </w:r>
      <w:r w:rsidR="00EC1D46" w:rsidRPr="00662F03">
        <w:rPr>
          <w:rFonts w:ascii="Calibri" w:hAnsi="Calibri" w:cs="Tahoma"/>
          <w:sz w:val="22"/>
          <w:szCs w:val="22"/>
        </w:rPr>
        <w:t xml:space="preserve"> poszczególnych zanieczyszczeń</w:t>
      </w:r>
      <w:r w:rsidR="000A1059" w:rsidRPr="00662F03">
        <w:rPr>
          <w:rFonts w:ascii="Calibri" w:hAnsi="Calibri" w:cs="Tahoma"/>
          <w:sz w:val="22"/>
          <w:szCs w:val="22"/>
        </w:rPr>
        <w:t>,</w:t>
      </w:r>
      <w:r w:rsidR="00EC1D46" w:rsidRPr="00662F03">
        <w:rPr>
          <w:rFonts w:ascii="Calibri" w:hAnsi="Calibri" w:cs="Tahoma"/>
          <w:sz w:val="22"/>
          <w:szCs w:val="22"/>
        </w:rPr>
        <w:t xml:space="preserve"> zarówno z zakładów przemysłowych (w tym energetyka), jak i z komunikacji czy indywidualnych źródeł ciepła.</w:t>
      </w:r>
      <w:r w:rsidR="001B1ABD">
        <w:rPr>
          <w:rFonts w:ascii="Calibri" w:hAnsi="Calibri" w:cs="Tahoma"/>
          <w:sz w:val="22"/>
          <w:szCs w:val="22"/>
        </w:rPr>
        <w:t xml:space="preserve"> </w:t>
      </w:r>
      <w:r w:rsidR="00044221">
        <w:rPr>
          <w:rFonts w:ascii="Calibri" w:hAnsi="Calibri" w:cs="Tahoma"/>
          <w:sz w:val="22"/>
          <w:szCs w:val="22"/>
        </w:rPr>
        <w:t xml:space="preserve">Główne kierunki działań w celu poprawy jakości powietrza powinny koncentrować się na obniżeniu emisji z transportu oraz z niskich źródeł indywidualnego ogrzewania. </w:t>
      </w:r>
      <w:r w:rsidR="00A348F7">
        <w:rPr>
          <w:rFonts w:ascii="Calibri" w:hAnsi="Calibri" w:cs="Tahoma"/>
          <w:sz w:val="22"/>
          <w:szCs w:val="22"/>
        </w:rPr>
        <w:t xml:space="preserve">Na jakość powietrza w Nowej Soli wpływa także działalność </w:t>
      </w:r>
      <w:r w:rsidR="00A348F7" w:rsidRPr="00A348F7">
        <w:rPr>
          <w:rFonts w:ascii="Calibri" w:hAnsi="Calibri" w:cs="Tahoma"/>
          <w:sz w:val="22"/>
          <w:szCs w:val="22"/>
        </w:rPr>
        <w:t>Zakładów Jajczarskich OVOPOL Sp. z o.o.</w:t>
      </w:r>
      <w:r w:rsidR="00A348F7">
        <w:rPr>
          <w:rFonts w:ascii="Calibri" w:hAnsi="Calibri" w:cs="Tahoma"/>
          <w:sz w:val="22"/>
          <w:szCs w:val="22"/>
        </w:rPr>
        <w:t xml:space="preserve"> Uciążliwości zapachowe są powodowane przez </w:t>
      </w:r>
      <w:r w:rsidR="003B63AA">
        <w:rPr>
          <w:rFonts w:ascii="Calibri" w:hAnsi="Calibri" w:cs="Tahoma"/>
          <w:sz w:val="22"/>
          <w:szCs w:val="22"/>
        </w:rPr>
        <w:t xml:space="preserve">procesy produkcyjne zakładów, które stanowią </w:t>
      </w:r>
      <w:r w:rsidR="00A348F7">
        <w:rPr>
          <w:rFonts w:ascii="Calibri" w:hAnsi="Calibri" w:cs="Tahoma"/>
          <w:sz w:val="22"/>
          <w:szCs w:val="22"/>
        </w:rPr>
        <w:t>źródła odorów</w:t>
      </w:r>
      <w:r w:rsidR="003B63AA">
        <w:rPr>
          <w:rFonts w:ascii="Calibri" w:hAnsi="Calibri" w:cs="Tahoma"/>
          <w:sz w:val="22"/>
          <w:szCs w:val="22"/>
        </w:rPr>
        <w:t>.</w:t>
      </w:r>
    </w:p>
    <w:p w:rsidR="00FC7A29" w:rsidRPr="00662F03" w:rsidRDefault="00FC7A2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Dokument „Program ochrony środowiska dla Gminy Miejskiej Nowa Sól na lata 2004-2015 wraz z planem gospodarki odpadami” podkreśla niekorzystne trendy w zakresie hałasu drogowego, coraz większe tereny zagrożone są przez hałas generowan</w:t>
      </w:r>
      <w:r w:rsidR="00AD6143" w:rsidRPr="00662F03">
        <w:rPr>
          <w:rFonts w:ascii="Calibri" w:hAnsi="Calibri" w:cs="Tahoma"/>
          <w:sz w:val="22"/>
          <w:szCs w:val="22"/>
        </w:rPr>
        <w:t>y</w:t>
      </w:r>
      <w:r w:rsidRPr="00662F03">
        <w:rPr>
          <w:rFonts w:ascii="Calibri" w:hAnsi="Calibri" w:cs="Tahoma"/>
          <w:sz w:val="22"/>
          <w:szCs w:val="22"/>
        </w:rPr>
        <w:t xml:space="preserve"> przez ruch samochod</w:t>
      </w:r>
      <w:r w:rsidR="00AE50C3" w:rsidRPr="00662F03">
        <w:rPr>
          <w:rFonts w:ascii="Calibri" w:hAnsi="Calibri" w:cs="Tahoma"/>
          <w:sz w:val="22"/>
          <w:szCs w:val="22"/>
        </w:rPr>
        <w:t>owy</w:t>
      </w:r>
      <w:r w:rsidRPr="00662F03">
        <w:rPr>
          <w:rFonts w:ascii="Calibri" w:hAnsi="Calibri" w:cs="Tahoma"/>
          <w:sz w:val="22"/>
          <w:szCs w:val="22"/>
        </w:rPr>
        <w:t xml:space="preserve">. </w:t>
      </w:r>
      <w:r w:rsidR="00A348F7">
        <w:rPr>
          <w:rFonts w:ascii="Calibri" w:hAnsi="Calibri" w:cs="Tahoma"/>
          <w:sz w:val="22"/>
          <w:szCs w:val="22"/>
        </w:rPr>
        <w:t xml:space="preserve">Na natężenie hałasu wpływa także zły stan dróg. </w:t>
      </w:r>
      <w:r w:rsidRPr="00662F03">
        <w:rPr>
          <w:rFonts w:ascii="Calibri" w:hAnsi="Calibri" w:cs="Tahoma"/>
          <w:sz w:val="22"/>
          <w:szCs w:val="22"/>
        </w:rPr>
        <w:t>Przeprowadzone przez WIOŚ badania akustyczne pokazują znaczne przekroczenia dopuszczalnych poziomów dźwięku w środowisku. Jako główne źródło przekroczeń wskazuje się ruch pojazdów ciężk</w:t>
      </w:r>
      <w:r w:rsidR="00AE50C3" w:rsidRPr="00662F03">
        <w:rPr>
          <w:rFonts w:ascii="Calibri" w:hAnsi="Calibri" w:cs="Tahoma"/>
          <w:sz w:val="22"/>
          <w:szCs w:val="22"/>
        </w:rPr>
        <w:t>ich. W 2011 r. został przyjęty p</w:t>
      </w:r>
      <w:r w:rsidRPr="00662F03">
        <w:rPr>
          <w:rFonts w:ascii="Calibri" w:hAnsi="Calibri" w:cs="Tahoma"/>
          <w:sz w:val="22"/>
          <w:szCs w:val="22"/>
        </w:rPr>
        <w:t>rogram ochrony przed hałasem dla dwóch odcinków dróg województwa lubuskiego (droga nr 2, odcinek 2_62_3 – powiat świebodziński oraz nr 3, odcinek 3_305_0 – powiat nowosolski).</w:t>
      </w:r>
    </w:p>
    <w:p w:rsidR="00FF1A17" w:rsidRPr="00662F03" w:rsidRDefault="00FF1A17"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Odcinek będący fragmentem drogi k</w:t>
      </w:r>
      <w:r w:rsidR="00AD6143" w:rsidRPr="00662F03">
        <w:rPr>
          <w:rFonts w:ascii="Calibri" w:hAnsi="Calibri" w:cs="Tahoma"/>
          <w:sz w:val="22"/>
          <w:szCs w:val="22"/>
        </w:rPr>
        <w:t>rajowej nr 3, położony jest w mieście</w:t>
      </w:r>
      <w:r w:rsidRPr="00662F03">
        <w:rPr>
          <w:rFonts w:ascii="Calibri" w:hAnsi="Calibri" w:cs="Tahoma"/>
          <w:sz w:val="22"/>
          <w:szCs w:val="22"/>
        </w:rPr>
        <w:t xml:space="preserve"> Nowa Sól.</w:t>
      </w:r>
      <w:r w:rsidR="00FC7A29" w:rsidRPr="00662F03">
        <w:rPr>
          <w:rFonts w:ascii="Calibri" w:hAnsi="Calibri" w:cs="Tahoma"/>
          <w:sz w:val="22"/>
          <w:szCs w:val="22"/>
        </w:rPr>
        <w:t xml:space="preserve"> </w:t>
      </w:r>
      <w:r w:rsidR="00AE50C3" w:rsidRPr="00662F03">
        <w:rPr>
          <w:rFonts w:ascii="Calibri" w:hAnsi="Calibri" w:cs="Tahoma"/>
          <w:sz w:val="22"/>
          <w:szCs w:val="22"/>
        </w:rPr>
        <w:t>Tereny, przez które</w:t>
      </w:r>
      <w:r w:rsidRPr="00662F03">
        <w:rPr>
          <w:rFonts w:ascii="Calibri" w:hAnsi="Calibri" w:cs="Tahoma"/>
          <w:sz w:val="22"/>
          <w:szCs w:val="22"/>
        </w:rPr>
        <w:t xml:space="preserve"> przebiega analizowany odcinek drogi charakteryzują się różnym</w:t>
      </w:r>
      <w:r w:rsidR="00FC7A29" w:rsidRPr="00662F03">
        <w:rPr>
          <w:rFonts w:ascii="Calibri" w:hAnsi="Calibri" w:cs="Tahoma"/>
          <w:sz w:val="22"/>
          <w:szCs w:val="22"/>
        </w:rPr>
        <w:t xml:space="preserve"> </w:t>
      </w:r>
      <w:r w:rsidRPr="00662F03">
        <w:rPr>
          <w:rFonts w:ascii="Calibri" w:hAnsi="Calibri" w:cs="Tahoma"/>
          <w:sz w:val="22"/>
          <w:szCs w:val="22"/>
        </w:rPr>
        <w:t>stopniem zurbanizowania i zagospodarowania. Zakres przekroczeń na przedmiotowym odcinku wynosi do 15 dB na terenie</w:t>
      </w:r>
      <w:r w:rsidR="00FC7A29" w:rsidRPr="00662F03">
        <w:rPr>
          <w:rFonts w:ascii="Calibri" w:hAnsi="Calibri" w:cs="Tahoma"/>
          <w:sz w:val="22"/>
          <w:szCs w:val="22"/>
        </w:rPr>
        <w:t xml:space="preserve"> </w:t>
      </w:r>
      <w:r w:rsidRPr="00662F03">
        <w:rPr>
          <w:rFonts w:ascii="Calibri" w:hAnsi="Calibri" w:cs="Tahoma"/>
          <w:sz w:val="22"/>
          <w:szCs w:val="22"/>
        </w:rPr>
        <w:t>miejskim. Dla analizowanego odcinka drogi krajowej nr 3, w okresie pomiędzy mapą</w:t>
      </w:r>
      <w:r w:rsidR="00FC7A29" w:rsidRPr="00662F03">
        <w:rPr>
          <w:rFonts w:ascii="Calibri" w:hAnsi="Calibri" w:cs="Tahoma"/>
          <w:sz w:val="22"/>
          <w:szCs w:val="22"/>
        </w:rPr>
        <w:t xml:space="preserve"> a</w:t>
      </w:r>
      <w:r w:rsidRPr="00662F03">
        <w:rPr>
          <w:rFonts w:ascii="Calibri" w:hAnsi="Calibri" w:cs="Tahoma"/>
          <w:sz w:val="22"/>
          <w:szCs w:val="22"/>
        </w:rPr>
        <w:t>kustyczną</w:t>
      </w:r>
      <w:r w:rsidR="00FC7A29" w:rsidRPr="00662F03">
        <w:rPr>
          <w:rFonts w:ascii="Calibri" w:hAnsi="Calibri" w:cs="Tahoma"/>
          <w:sz w:val="22"/>
          <w:szCs w:val="22"/>
        </w:rPr>
        <w:t>,</w:t>
      </w:r>
      <w:r w:rsidRPr="00662F03">
        <w:rPr>
          <w:rFonts w:ascii="Calibri" w:hAnsi="Calibri" w:cs="Tahoma"/>
          <w:sz w:val="22"/>
          <w:szCs w:val="22"/>
        </w:rPr>
        <w:t xml:space="preserve"> a programem ochrony przed hałasem, został</w:t>
      </w:r>
      <w:r w:rsidR="00FC7A29" w:rsidRPr="00662F03">
        <w:rPr>
          <w:rFonts w:ascii="Calibri" w:hAnsi="Calibri" w:cs="Tahoma"/>
          <w:sz w:val="22"/>
          <w:szCs w:val="22"/>
        </w:rPr>
        <w:t xml:space="preserve"> w 2008 r.</w:t>
      </w:r>
      <w:r w:rsidRPr="00662F03">
        <w:rPr>
          <w:rFonts w:ascii="Calibri" w:hAnsi="Calibri" w:cs="Tahoma"/>
          <w:sz w:val="22"/>
          <w:szCs w:val="22"/>
        </w:rPr>
        <w:t>, wybudowany nowy</w:t>
      </w:r>
      <w:r w:rsidR="00AD6143" w:rsidRPr="00662F03">
        <w:rPr>
          <w:rFonts w:ascii="Calibri" w:hAnsi="Calibri" w:cs="Tahoma"/>
          <w:sz w:val="22"/>
          <w:szCs w:val="22"/>
        </w:rPr>
        <w:t>, kilkukilometrowy</w:t>
      </w:r>
      <w:r w:rsidRPr="00662F03">
        <w:rPr>
          <w:rFonts w:ascii="Calibri" w:hAnsi="Calibri" w:cs="Tahoma"/>
          <w:sz w:val="22"/>
          <w:szCs w:val="22"/>
        </w:rPr>
        <w:t xml:space="preserve"> odcinek drogi krajowej nr 3 będący jednocześnie</w:t>
      </w:r>
      <w:r w:rsidR="00FC7A29" w:rsidRPr="00662F03">
        <w:rPr>
          <w:rFonts w:ascii="Calibri" w:hAnsi="Calibri" w:cs="Tahoma"/>
          <w:sz w:val="22"/>
          <w:szCs w:val="22"/>
        </w:rPr>
        <w:t xml:space="preserve"> </w:t>
      </w:r>
      <w:r w:rsidRPr="00662F03">
        <w:rPr>
          <w:rFonts w:ascii="Calibri" w:hAnsi="Calibri" w:cs="Tahoma"/>
          <w:sz w:val="22"/>
          <w:szCs w:val="22"/>
        </w:rPr>
        <w:t>obwodnicą m</w:t>
      </w:r>
      <w:r w:rsidR="00AD6143" w:rsidRPr="00662F03">
        <w:rPr>
          <w:rFonts w:ascii="Calibri" w:hAnsi="Calibri" w:cs="Tahoma"/>
          <w:sz w:val="22"/>
          <w:szCs w:val="22"/>
        </w:rPr>
        <w:t>iasta</w:t>
      </w:r>
      <w:r w:rsidRPr="00662F03">
        <w:rPr>
          <w:rFonts w:ascii="Calibri" w:hAnsi="Calibri" w:cs="Tahoma"/>
          <w:sz w:val="22"/>
          <w:szCs w:val="22"/>
        </w:rPr>
        <w:t xml:space="preserve"> Nowa Sól.</w:t>
      </w:r>
    </w:p>
    <w:p w:rsidR="00856BD1" w:rsidRDefault="001A06A7"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ciągu 2009 r. w mieście Nowa Sól wytworzono </w:t>
      </w:r>
      <w:r w:rsidR="000563D4" w:rsidRPr="00662F03">
        <w:rPr>
          <w:rFonts w:ascii="Calibri" w:hAnsi="Calibri" w:cs="Tahoma"/>
          <w:sz w:val="22"/>
          <w:szCs w:val="22"/>
        </w:rPr>
        <w:t xml:space="preserve">prawie </w:t>
      </w:r>
      <w:r w:rsidR="00752322" w:rsidRPr="00662F03">
        <w:rPr>
          <w:rFonts w:ascii="Calibri" w:hAnsi="Calibri" w:cs="Tahoma"/>
          <w:sz w:val="22"/>
          <w:szCs w:val="22"/>
        </w:rPr>
        <w:t>4</w:t>
      </w:r>
      <w:r w:rsidR="000563D4" w:rsidRPr="00662F03">
        <w:rPr>
          <w:rFonts w:ascii="Calibri" w:hAnsi="Calibri" w:cs="Tahoma"/>
          <w:sz w:val="22"/>
          <w:szCs w:val="22"/>
        </w:rPr>
        <w:t>0</w:t>
      </w:r>
      <w:r w:rsidRPr="00662F03">
        <w:rPr>
          <w:rFonts w:ascii="Calibri" w:hAnsi="Calibri" w:cs="Tahoma"/>
          <w:sz w:val="22"/>
          <w:szCs w:val="22"/>
        </w:rPr>
        <w:t xml:space="preserve"> tys. ton odpadów </w:t>
      </w:r>
      <w:r w:rsidR="00752322" w:rsidRPr="00662F03">
        <w:rPr>
          <w:rFonts w:ascii="Calibri" w:hAnsi="Calibri" w:cs="Tahoma"/>
          <w:sz w:val="22"/>
          <w:szCs w:val="22"/>
        </w:rPr>
        <w:t>(z wyłączeniem komunalnych)</w:t>
      </w:r>
      <w:r w:rsidRPr="00662F03">
        <w:rPr>
          <w:rFonts w:ascii="Calibri" w:hAnsi="Calibri" w:cs="Tahoma"/>
          <w:sz w:val="22"/>
          <w:szCs w:val="22"/>
        </w:rPr>
        <w:t>,</w:t>
      </w:r>
      <w:r w:rsidR="00752322" w:rsidRPr="00662F03">
        <w:rPr>
          <w:rFonts w:ascii="Calibri" w:hAnsi="Calibri" w:cs="Tahoma"/>
          <w:sz w:val="22"/>
          <w:szCs w:val="22"/>
        </w:rPr>
        <w:t xml:space="preserve"> z których </w:t>
      </w:r>
      <w:r w:rsidR="000563D4" w:rsidRPr="00662F03">
        <w:rPr>
          <w:rFonts w:ascii="Calibri" w:hAnsi="Calibri" w:cs="Tahoma"/>
          <w:sz w:val="22"/>
          <w:szCs w:val="22"/>
        </w:rPr>
        <w:t>65</w:t>
      </w:r>
      <w:r w:rsidR="00752322" w:rsidRPr="00662F03">
        <w:rPr>
          <w:rFonts w:ascii="Calibri" w:hAnsi="Calibri" w:cs="Tahoma"/>
          <w:sz w:val="22"/>
          <w:szCs w:val="22"/>
        </w:rPr>
        <w:t xml:space="preserve">% magazynowano </w:t>
      </w:r>
      <w:r w:rsidR="000563D4" w:rsidRPr="00662F03">
        <w:rPr>
          <w:rFonts w:ascii="Calibri" w:hAnsi="Calibri" w:cs="Tahoma"/>
          <w:sz w:val="22"/>
          <w:szCs w:val="22"/>
        </w:rPr>
        <w:t>czasowo, 31</w:t>
      </w:r>
      <w:r w:rsidR="00752322" w:rsidRPr="00662F03">
        <w:rPr>
          <w:rFonts w:ascii="Calibri" w:hAnsi="Calibri" w:cs="Tahoma"/>
          <w:sz w:val="22"/>
          <w:szCs w:val="22"/>
        </w:rPr>
        <w:t xml:space="preserve">% poddano </w:t>
      </w:r>
      <w:r w:rsidR="00904DB6" w:rsidRPr="00662F03">
        <w:rPr>
          <w:rFonts w:ascii="Calibri" w:hAnsi="Calibri" w:cs="Tahoma"/>
          <w:sz w:val="22"/>
          <w:szCs w:val="22"/>
        </w:rPr>
        <w:t>odzyskowi</w:t>
      </w:r>
      <w:r w:rsidR="000563D4" w:rsidRPr="00662F03">
        <w:rPr>
          <w:rFonts w:ascii="Calibri" w:hAnsi="Calibri" w:cs="Tahoma"/>
          <w:sz w:val="22"/>
          <w:szCs w:val="22"/>
        </w:rPr>
        <w:t>, a ponad 3</w:t>
      </w:r>
      <w:r w:rsidR="00752322" w:rsidRPr="00662F03">
        <w:rPr>
          <w:rFonts w:ascii="Calibri" w:hAnsi="Calibri" w:cs="Tahoma"/>
          <w:sz w:val="22"/>
          <w:szCs w:val="22"/>
        </w:rPr>
        <w:t>% unieszkodliwiono</w:t>
      </w:r>
      <w:r w:rsidRPr="00662F03">
        <w:rPr>
          <w:rFonts w:ascii="Calibri" w:hAnsi="Calibri" w:cs="Tahoma"/>
          <w:sz w:val="22"/>
          <w:szCs w:val="22"/>
        </w:rPr>
        <w:t>. Od 200</w:t>
      </w:r>
      <w:r w:rsidR="00752322" w:rsidRPr="00662F03">
        <w:rPr>
          <w:rFonts w:ascii="Calibri" w:hAnsi="Calibri" w:cs="Tahoma"/>
          <w:sz w:val="22"/>
          <w:szCs w:val="22"/>
        </w:rPr>
        <w:t>3</w:t>
      </w:r>
      <w:r w:rsidRPr="00662F03">
        <w:rPr>
          <w:rFonts w:ascii="Calibri" w:hAnsi="Calibri" w:cs="Tahoma"/>
          <w:sz w:val="22"/>
          <w:szCs w:val="22"/>
        </w:rPr>
        <w:t xml:space="preserve"> r. ilość wytworzonych odpadów zwiększyła się </w:t>
      </w:r>
      <w:r w:rsidR="00752322" w:rsidRPr="00662F03">
        <w:rPr>
          <w:rFonts w:ascii="Calibri" w:hAnsi="Calibri" w:cs="Tahoma"/>
          <w:sz w:val="22"/>
          <w:szCs w:val="22"/>
        </w:rPr>
        <w:t>sześciokrotnie.</w:t>
      </w:r>
      <w:r w:rsidRPr="00662F03">
        <w:rPr>
          <w:rFonts w:ascii="Calibri" w:hAnsi="Calibri" w:cs="Tahoma"/>
          <w:sz w:val="22"/>
          <w:szCs w:val="22"/>
        </w:rPr>
        <w:t xml:space="preserve"> W 2009 roku </w:t>
      </w:r>
      <w:r w:rsidR="000563D4" w:rsidRPr="00662F03">
        <w:rPr>
          <w:rFonts w:ascii="Calibri" w:hAnsi="Calibri" w:cs="Tahoma"/>
          <w:sz w:val="22"/>
          <w:szCs w:val="22"/>
        </w:rPr>
        <w:t>zebrano ponad 16</w:t>
      </w:r>
      <w:r w:rsidR="00752322" w:rsidRPr="00662F03">
        <w:rPr>
          <w:rFonts w:ascii="Calibri" w:hAnsi="Calibri" w:cs="Tahoma"/>
          <w:sz w:val="22"/>
          <w:szCs w:val="22"/>
        </w:rPr>
        <w:t xml:space="preserve"> tys. ton zmieszanych odpadów komunalnych, w tym prawie 79% pochodziło z gospodarstw domowych.</w:t>
      </w:r>
      <w:r w:rsidR="00164C4D" w:rsidRPr="00662F03">
        <w:rPr>
          <w:rFonts w:ascii="Calibri" w:hAnsi="Calibri" w:cs="Tahoma"/>
          <w:sz w:val="22"/>
          <w:szCs w:val="22"/>
        </w:rPr>
        <w:t xml:space="preserve"> Przedstawiony na wykresie wysoki udział odpadów przemysłowych wytworzonych w miastach o porównywalnej wielkości wiąże się z tym, że część tych miast to miasta o charakterze wybitnie przemysłowym np. z obszaru województwa dolnośląskiego.</w:t>
      </w:r>
    </w:p>
    <w:p w:rsidR="00A05146" w:rsidRPr="00123EB4" w:rsidRDefault="004D5193" w:rsidP="004E5A9A">
      <w:pPr>
        <w:shd w:val="clear" w:color="auto" w:fill="FFFFFF"/>
        <w:spacing w:before="150" w:after="75"/>
        <w:jc w:val="both"/>
        <w:outlineLvl w:val="3"/>
        <w:rPr>
          <w:rFonts w:ascii="Calibri" w:hAnsi="Calibri" w:cs="Tahoma"/>
          <w:szCs w:val="22"/>
        </w:rPr>
      </w:pPr>
      <w:r>
        <w:rPr>
          <w:rFonts w:ascii="Calibri" w:hAnsi="Calibri" w:cs="Tahoma"/>
          <w:sz w:val="22"/>
          <w:szCs w:val="22"/>
        </w:rPr>
        <w:br w:type="page"/>
      </w:r>
      <w:bookmarkStart w:id="51" w:name="_Toc315790502"/>
      <w:r w:rsidR="0097472E"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0097472E"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33</w:t>
      </w:r>
      <w:r w:rsidR="005433B6" w:rsidRPr="00662F03">
        <w:rPr>
          <w:rFonts w:ascii="Calibri" w:hAnsi="Calibri" w:cs="Tahoma"/>
          <w:sz w:val="20"/>
          <w:szCs w:val="22"/>
        </w:rPr>
        <w:fldChar w:fldCharType="end"/>
      </w:r>
      <w:r w:rsidR="0097472E" w:rsidRPr="00662F03">
        <w:rPr>
          <w:rFonts w:ascii="Calibri" w:hAnsi="Calibri" w:cs="Tahoma"/>
          <w:sz w:val="20"/>
          <w:szCs w:val="22"/>
        </w:rPr>
        <w:t>.</w:t>
      </w:r>
      <w:r w:rsidR="00123EB4" w:rsidRPr="00123EB4">
        <w:rPr>
          <w:b/>
          <w:bCs/>
          <w:color w:val="000000"/>
          <w:kern w:val="24"/>
          <w:sz w:val="20"/>
          <w:szCs w:val="20"/>
        </w:rPr>
        <w:t xml:space="preserve"> </w:t>
      </w:r>
      <w:r w:rsidR="00123EB4" w:rsidRPr="00123EB4">
        <w:rPr>
          <w:rFonts w:ascii="Calibri" w:hAnsi="Calibri" w:cs="Tahoma"/>
          <w:bCs/>
          <w:sz w:val="20"/>
          <w:szCs w:val="22"/>
        </w:rPr>
        <w:t>Odpady wytworzone w Nowej Soli i miastach o porównywalnej wielkości.</w:t>
      </w:r>
      <w:bookmarkEnd w:id="51"/>
    </w:p>
    <w:p w:rsidR="008006C5" w:rsidRPr="00662F03" w:rsidRDefault="005B1628" w:rsidP="004E5A9A">
      <w:pPr>
        <w:jc w:val="center"/>
        <w:rPr>
          <w:rFonts w:ascii="Calibri" w:hAnsi="Calibri"/>
          <w:noProof/>
          <w:sz w:val="22"/>
          <w:szCs w:val="22"/>
        </w:rPr>
      </w:pPr>
      <w:r>
        <w:rPr>
          <w:rFonts w:ascii="Calibri" w:hAnsi="Calibri"/>
          <w:noProof/>
          <w:sz w:val="22"/>
          <w:szCs w:val="22"/>
        </w:rPr>
        <w:drawing>
          <wp:inline distT="0" distB="0" distL="0" distR="0">
            <wp:extent cx="5221868" cy="3097363"/>
            <wp:effectExtent l="19050" t="0" r="16882" b="7787"/>
            <wp:docPr id="4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8F52F1" w:rsidRPr="00662F03" w:rsidRDefault="008F52F1" w:rsidP="004E5A9A">
      <w:pPr>
        <w:jc w:val="both"/>
        <w:rPr>
          <w:rFonts w:ascii="Calibri" w:hAnsi="Calibri"/>
          <w:sz w:val="20"/>
          <w:szCs w:val="22"/>
        </w:rPr>
      </w:pPr>
      <w:r w:rsidRPr="00662F03">
        <w:rPr>
          <w:rFonts w:ascii="Calibri" w:hAnsi="Calibri"/>
          <w:noProof/>
          <w:sz w:val="20"/>
          <w:szCs w:val="22"/>
        </w:rPr>
        <w:t>Źródło: opracowanie własne na podstawie danych Banku DanychLokalnych, GUS.</w:t>
      </w:r>
    </w:p>
    <w:p w:rsidR="00BE7C7F" w:rsidRPr="00662F03" w:rsidRDefault="00BE7C7F"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Ilość wytworzonych odpadów komunalnych w Nowej Soli jest wyższa niż średnia dla </w:t>
      </w:r>
      <w:r w:rsidR="00A56F0E" w:rsidRPr="00662F03">
        <w:rPr>
          <w:rFonts w:ascii="Calibri" w:hAnsi="Calibri" w:cs="Tahoma"/>
          <w:sz w:val="22"/>
          <w:szCs w:val="22"/>
        </w:rPr>
        <w:t xml:space="preserve">analizowanych </w:t>
      </w:r>
      <w:r w:rsidRPr="00662F03">
        <w:rPr>
          <w:rFonts w:ascii="Calibri" w:hAnsi="Calibri" w:cs="Tahoma"/>
          <w:sz w:val="22"/>
          <w:szCs w:val="22"/>
        </w:rPr>
        <w:t>miast o porównywalnej wielkości, przy czym w 2009 r. 15% spośród ty</w:t>
      </w:r>
      <w:r w:rsidR="00016D2F" w:rsidRPr="00662F03">
        <w:rPr>
          <w:rFonts w:ascii="Calibri" w:hAnsi="Calibri" w:cs="Tahoma"/>
          <w:sz w:val="22"/>
          <w:szCs w:val="22"/>
        </w:rPr>
        <w:t>ch</w:t>
      </w:r>
      <w:r w:rsidRPr="00662F03">
        <w:rPr>
          <w:rFonts w:ascii="Calibri" w:hAnsi="Calibri" w:cs="Tahoma"/>
          <w:sz w:val="22"/>
          <w:szCs w:val="22"/>
        </w:rPr>
        <w:t xml:space="preserve"> miast wytworzyło więcej odpadów komunalnych. W przypadku odpadów przemysłowych </w:t>
      </w:r>
      <w:r w:rsidR="00016D2F" w:rsidRPr="00662F03">
        <w:rPr>
          <w:rFonts w:ascii="Calibri" w:hAnsi="Calibri" w:cs="Tahoma"/>
          <w:sz w:val="22"/>
          <w:szCs w:val="22"/>
        </w:rPr>
        <w:t xml:space="preserve">w 2009 r. </w:t>
      </w:r>
      <w:r w:rsidRPr="00662F03">
        <w:rPr>
          <w:rFonts w:ascii="Calibri" w:hAnsi="Calibri" w:cs="Tahoma"/>
          <w:sz w:val="22"/>
          <w:szCs w:val="22"/>
        </w:rPr>
        <w:t xml:space="preserve">25% </w:t>
      </w:r>
      <w:r w:rsidR="00016D2F" w:rsidRPr="00662F03">
        <w:rPr>
          <w:rFonts w:ascii="Calibri" w:hAnsi="Calibri" w:cs="Tahoma"/>
          <w:sz w:val="22"/>
          <w:szCs w:val="22"/>
        </w:rPr>
        <w:t xml:space="preserve">spośród analizowanych </w:t>
      </w:r>
      <w:r w:rsidRPr="00662F03">
        <w:rPr>
          <w:rFonts w:ascii="Calibri" w:hAnsi="Calibri" w:cs="Tahoma"/>
          <w:sz w:val="22"/>
          <w:szCs w:val="22"/>
        </w:rPr>
        <w:t xml:space="preserve">miast wytwarzało </w:t>
      </w:r>
      <w:r w:rsidR="00016D2F" w:rsidRPr="00662F03">
        <w:rPr>
          <w:rFonts w:ascii="Calibri" w:hAnsi="Calibri" w:cs="Tahoma"/>
          <w:sz w:val="22"/>
          <w:szCs w:val="22"/>
        </w:rPr>
        <w:t xml:space="preserve">ich </w:t>
      </w:r>
      <w:r w:rsidRPr="00662F03">
        <w:rPr>
          <w:rFonts w:ascii="Calibri" w:hAnsi="Calibri" w:cs="Tahoma"/>
          <w:sz w:val="22"/>
          <w:szCs w:val="22"/>
        </w:rPr>
        <w:t>więcej niż Nowa Sól.</w:t>
      </w:r>
    </w:p>
    <w:p w:rsidR="009C7182" w:rsidRPr="00662F03" w:rsidRDefault="008F52F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Odpady z Nowej Soli są składowane na Składowisku</w:t>
      </w:r>
      <w:r w:rsidR="00AD6143" w:rsidRPr="00662F03">
        <w:rPr>
          <w:rFonts w:ascii="Calibri" w:hAnsi="Calibri" w:cs="Tahoma"/>
          <w:sz w:val="22"/>
          <w:szCs w:val="22"/>
        </w:rPr>
        <w:t xml:space="preserve"> Odpadów Komunalnych we wsi</w:t>
      </w:r>
      <w:r w:rsidRPr="00662F03">
        <w:rPr>
          <w:rFonts w:ascii="Calibri" w:hAnsi="Calibri" w:cs="Tahoma"/>
          <w:sz w:val="22"/>
          <w:szCs w:val="22"/>
        </w:rPr>
        <w:t xml:space="preserve"> Kiełcz, które należy do grupy składowisk odpadów innych niż niebezpieczne i obojętne. Składowisko położone jest w odległości około 8 km od Nowej Soli, zajmuje powierzchnię 14 ha. </w:t>
      </w:r>
      <w:r w:rsidR="00074CDC" w:rsidRPr="00662F03">
        <w:rPr>
          <w:rFonts w:ascii="Calibri" w:hAnsi="Calibri" w:cs="Tahoma"/>
          <w:sz w:val="22"/>
          <w:szCs w:val="22"/>
        </w:rPr>
        <w:t>Na składowisku unieszkodliwiane są głównie stałe odpady komunalne, pochodzące z gospodarstw domowych, instytucji i urzędów, lokali handlowych i usługowych, a także zakładów produkcyjnych. Dowóz odpadów komunalnych na składowisko, odbywa za pośrednictwem firm przewozowych posiadających zezwolenia na transport odpadów. Perspektywiczna pojemność składowa kwater, przy wysokości rzędnej składowania</w:t>
      </w:r>
      <w:r w:rsidR="004955AC" w:rsidRPr="00662F03">
        <w:rPr>
          <w:rFonts w:ascii="Calibri" w:hAnsi="Calibri" w:cs="Tahoma"/>
          <w:sz w:val="22"/>
          <w:szCs w:val="22"/>
        </w:rPr>
        <w:t xml:space="preserve"> do 95</w:t>
      </w:r>
      <w:r w:rsidR="003F5E05" w:rsidRPr="00662F03">
        <w:rPr>
          <w:rFonts w:ascii="Calibri" w:hAnsi="Calibri" w:cs="Tahoma"/>
          <w:sz w:val="22"/>
          <w:szCs w:val="22"/>
        </w:rPr>
        <w:t xml:space="preserve"> m n.p.m. wyniesie – 1</w:t>
      </w:r>
      <w:r w:rsidR="004955AC" w:rsidRPr="00662F03">
        <w:rPr>
          <w:rFonts w:ascii="Calibri" w:hAnsi="Calibri" w:cs="Tahoma"/>
          <w:sz w:val="22"/>
          <w:szCs w:val="22"/>
        </w:rPr>
        <w:t>054</w:t>
      </w:r>
      <w:r w:rsidR="00074CDC" w:rsidRPr="00662F03">
        <w:rPr>
          <w:rFonts w:ascii="Calibri" w:hAnsi="Calibri" w:cs="Tahoma"/>
          <w:sz w:val="22"/>
          <w:szCs w:val="22"/>
        </w:rPr>
        <w:t xml:space="preserve"> tys. m</w:t>
      </w:r>
      <w:r w:rsidR="00074CDC" w:rsidRPr="00662F03">
        <w:rPr>
          <w:rFonts w:ascii="Calibri" w:hAnsi="Calibri" w:cs="Tahoma"/>
          <w:sz w:val="22"/>
          <w:szCs w:val="22"/>
          <w:vertAlign w:val="superscript"/>
        </w:rPr>
        <w:t>3</w:t>
      </w:r>
      <w:r w:rsidR="004955AC" w:rsidRPr="00662F03">
        <w:rPr>
          <w:rFonts w:ascii="Calibri" w:hAnsi="Calibri" w:cs="Tahoma"/>
          <w:sz w:val="22"/>
          <w:szCs w:val="22"/>
        </w:rPr>
        <w:t>, co pozwoli ze</w:t>
      </w:r>
      <w:r w:rsidR="00074CDC" w:rsidRPr="00662F03">
        <w:rPr>
          <w:rFonts w:ascii="Calibri" w:hAnsi="Calibri" w:cs="Tahoma"/>
          <w:sz w:val="22"/>
          <w:szCs w:val="22"/>
        </w:rPr>
        <w:t>składować ok. 3,85 mln m</w:t>
      </w:r>
      <w:r w:rsidR="00074CDC" w:rsidRPr="00662F03">
        <w:rPr>
          <w:rFonts w:ascii="Calibri" w:hAnsi="Calibri" w:cs="Tahoma"/>
          <w:sz w:val="22"/>
          <w:szCs w:val="22"/>
          <w:vertAlign w:val="superscript"/>
        </w:rPr>
        <w:t>3</w:t>
      </w:r>
      <w:r w:rsidR="00074CDC" w:rsidRPr="00662F03">
        <w:rPr>
          <w:rFonts w:ascii="Calibri" w:hAnsi="Calibri" w:cs="Tahoma"/>
          <w:sz w:val="22"/>
          <w:szCs w:val="22"/>
        </w:rPr>
        <w:t xml:space="preserve"> odpadów. Użytkowanie składowiska przew</w:t>
      </w:r>
      <w:r w:rsidR="000563D4" w:rsidRPr="00662F03">
        <w:rPr>
          <w:rFonts w:ascii="Calibri" w:hAnsi="Calibri" w:cs="Tahoma"/>
          <w:sz w:val="22"/>
          <w:szCs w:val="22"/>
        </w:rPr>
        <w:t>iduje się przez okres około 54</w:t>
      </w:r>
      <w:r w:rsidR="00074CDC" w:rsidRPr="00662F03">
        <w:rPr>
          <w:rFonts w:ascii="Calibri" w:hAnsi="Calibri" w:cs="Tahoma"/>
          <w:sz w:val="22"/>
          <w:szCs w:val="22"/>
        </w:rPr>
        <w:t xml:space="preserve"> lat. Po tym okresie brył</w:t>
      </w:r>
      <w:r w:rsidR="009D2B2C" w:rsidRPr="00662F03">
        <w:rPr>
          <w:rFonts w:ascii="Calibri" w:hAnsi="Calibri" w:cs="Tahoma"/>
          <w:sz w:val="22"/>
          <w:szCs w:val="22"/>
        </w:rPr>
        <w:t>a odpadów zostanie zamknięta, a</w:t>
      </w:r>
      <w:r w:rsidR="00074CDC" w:rsidRPr="00662F03">
        <w:rPr>
          <w:rFonts w:ascii="Calibri" w:hAnsi="Calibri" w:cs="Tahoma"/>
          <w:sz w:val="22"/>
          <w:szCs w:val="22"/>
        </w:rPr>
        <w:t xml:space="preserve"> teren zostanie zrekultywowany z przeznaczeniem na użytek leśny</w:t>
      </w:r>
      <w:r w:rsidR="004955AC" w:rsidRPr="00662F03">
        <w:rPr>
          <w:rFonts w:ascii="Calibri" w:hAnsi="Calibri" w:cs="Tahoma"/>
          <w:sz w:val="20"/>
          <w:vertAlign w:val="superscript"/>
        </w:rPr>
        <w:footnoteReference w:id="15"/>
      </w:r>
      <w:r w:rsidR="00074CDC" w:rsidRPr="00662F03">
        <w:rPr>
          <w:rFonts w:ascii="Calibri" w:hAnsi="Calibri" w:cs="Tahoma"/>
          <w:sz w:val="22"/>
          <w:szCs w:val="22"/>
        </w:rPr>
        <w:t>.</w:t>
      </w:r>
    </w:p>
    <w:p w:rsidR="00F90D8D" w:rsidRPr="00662F03" w:rsidRDefault="005C2698" w:rsidP="00FC1796">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w:t>
      </w:r>
      <w:r w:rsidR="007D24D1" w:rsidRPr="00662F03">
        <w:rPr>
          <w:rFonts w:ascii="Calibri" w:hAnsi="Calibri" w:cs="Tahoma"/>
          <w:sz w:val="22"/>
          <w:szCs w:val="22"/>
        </w:rPr>
        <w:t>a ś</w:t>
      </w:r>
      <w:r w:rsidR="00904DB6" w:rsidRPr="00662F03">
        <w:rPr>
          <w:rFonts w:ascii="Calibri" w:hAnsi="Calibri" w:cs="Tahoma"/>
          <w:sz w:val="22"/>
          <w:szCs w:val="22"/>
        </w:rPr>
        <w:t>rodki trwa</w:t>
      </w:r>
      <w:r w:rsidR="007D24D1" w:rsidRPr="00662F03">
        <w:rPr>
          <w:rFonts w:ascii="Calibri" w:hAnsi="Calibri" w:cs="Tahoma"/>
          <w:sz w:val="22"/>
          <w:szCs w:val="22"/>
        </w:rPr>
        <w:t>ł</w:t>
      </w:r>
      <w:r w:rsidR="00904DB6" w:rsidRPr="00662F03">
        <w:rPr>
          <w:rFonts w:ascii="Calibri" w:hAnsi="Calibri" w:cs="Tahoma"/>
          <w:sz w:val="22"/>
          <w:szCs w:val="22"/>
        </w:rPr>
        <w:t>e s</w:t>
      </w:r>
      <w:r w:rsidR="007D24D1" w:rsidRPr="00662F03">
        <w:rPr>
          <w:rFonts w:ascii="Calibri" w:hAnsi="Calibri" w:cs="Tahoma"/>
          <w:sz w:val="22"/>
          <w:szCs w:val="22"/>
        </w:rPr>
        <w:t>łużące ochronie ś</w:t>
      </w:r>
      <w:r w:rsidR="00904DB6" w:rsidRPr="00662F03">
        <w:rPr>
          <w:rFonts w:ascii="Calibri" w:hAnsi="Calibri" w:cs="Tahoma"/>
          <w:sz w:val="22"/>
          <w:szCs w:val="22"/>
        </w:rPr>
        <w:t>rodowiska wydano</w:t>
      </w:r>
      <w:r w:rsidRPr="00662F03">
        <w:rPr>
          <w:rFonts w:ascii="Calibri" w:hAnsi="Calibri" w:cs="Tahoma"/>
          <w:sz w:val="22"/>
          <w:szCs w:val="22"/>
        </w:rPr>
        <w:t xml:space="preserve"> w 2009 r.</w:t>
      </w:r>
      <w:r w:rsidR="00904DB6" w:rsidRPr="00662F03">
        <w:rPr>
          <w:rFonts w:ascii="Calibri" w:hAnsi="Calibri" w:cs="Tahoma"/>
          <w:sz w:val="22"/>
          <w:szCs w:val="22"/>
        </w:rPr>
        <w:t xml:space="preserve"> </w:t>
      </w:r>
      <w:r w:rsidR="000563D4" w:rsidRPr="00662F03">
        <w:rPr>
          <w:rFonts w:ascii="Calibri" w:hAnsi="Calibri" w:cs="Tahoma"/>
          <w:sz w:val="22"/>
          <w:szCs w:val="22"/>
        </w:rPr>
        <w:t>ponad 3528</w:t>
      </w:r>
      <w:r w:rsidRPr="00662F03">
        <w:rPr>
          <w:rFonts w:ascii="Calibri" w:hAnsi="Calibri" w:cs="Tahoma"/>
          <w:sz w:val="22"/>
          <w:szCs w:val="22"/>
        </w:rPr>
        <w:t xml:space="preserve"> tys.</w:t>
      </w:r>
      <w:r w:rsidR="007D24D1" w:rsidRPr="00662F03">
        <w:rPr>
          <w:rFonts w:ascii="Calibri" w:hAnsi="Calibri" w:cs="Tahoma"/>
          <w:sz w:val="22"/>
          <w:szCs w:val="22"/>
        </w:rPr>
        <w:t xml:space="preserve"> zł</w:t>
      </w:r>
      <w:r w:rsidRPr="00662F03">
        <w:rPr>
          <w:rFonts w:ascii="Calibri" w:hAnsi="Calibri" w:cs="Tahoma"/>
          <w:sz w:val="22"/>
          <w:szCs w:val="22"/>
        </w:rPr>
        <w:t>, tj. 88</w:t>
      </w:r>
      <w:r w:rsidR="007D24D1" w:rsidRPr="00662F03">
        <w:rPr>
          <w:rFonts w:ascii="Calibri" w:hAnsi="Calibri" w:cs="Tahoma"/>
          <w:sz w:val="22"/>
          <w:szCs w:val="22"/>
        </w:rPr>
        <w:t xml:space="preserve"> zł</w:t>
      </w:r>
      <w:r w:rsidR="00904DB6" w:rsidRPr="00662F03">
        <w:rPr>
          <w:rFonts w:ascii="Calibri" w:hAnsi="Calibri" w:cs="Tahoma"/>
          <w:sz w:val="22"/>
          <w:szCs w:val="22"/>
        </w:rPr>
        <w:t xml:space="preserve"> w przeliczeniu na </w:t>
      </w:r>
      <w:r w:rsidR="00AB1639" w:rsidRPr="00662F03">
        <w:rPr>
          <w:rFonts w:ascii="Calibri" w:hAnsi="Calibri" w:cs="Tahoma"/>
          <w:sz w:val="22"/>
          <w:szCs w:val="22"/>
        </w:rPr>
        <w:t xml:space="preserve">1 </w:t>
      </w:r>
      <w:r w:rsidR="007D24D1" w:rsidRPr="00662F03">
        <w:rPr>
          <w:rFonts w:ascii="Calibri" w:hAnsi="Calibri" w:cs="Tahoma"/>
          <w:sz w:val="22"/>
          <w:szCs w:val="22"/>
        </w:rPr>
        <w:t>mieszkańca</w:t>
      </w:r>
      <w:r w:rsidR="00904DB6" w:rsidRPr="00662F03">
        <w:rPr>
          <w:rFonts w:ascii="Calibri" w:hAnsi="Calibri" w:cs="Tahoma"/>
          <w:sz w:val="22"/>
          <w:szCs w:val="22"/>
        </w:rPr>
        <w:t xml:space="preserve">. </w:t>
      </w:r>
      <w:r w:rsidR="00AB1639" w:rsidRPr="00662F03">
        <w:rPr>
          <w:rFonts w:ascii="Calibri" w:hAnsi="Calibri" w:cs="Tahoma"/>
          <w:sz w:val="22"/>
          <w:szCs w:val="22"/>
        </w:rPr>
        <w:t xml:space="preserve">Na inwestycje na ochronę środowiska w Nowej Soli </w:t>
      </w:r>
      <w:r w:rsidR="000563D4" w:rsidRPr="00662F03">
        <w:rPr>
          <w:rFonts w:ascii="Calibri" w:hAnsi="Calibri" w:cs="Tahoma"/>
          <w:sz w:val="22"/>
          <w:szCs w:val="22"/>
        </w:rPr>
        <w:t>wydano 41</w:t>
      </w:r>
      <w:r w:rsidR="00AB1639" w:rsidRPr="00662F03">
        <w:rPr>
          <w:rFonts w:ascii="Calibri" w:hAnsi="Calibri" w:cs="Tahoma"/>
          <w:sz w:val="22"/>
          <w:szCs w:val="22"/>
        </w:rPr>
        <w:t xml:space="preserve">% ogółu środków na ochronę środowiska w powiecie. </w:t>
      </w:r>
      <w:r w:rsidR="007D24D1" w:rsidRPr="00662F03">
        <w:rPr>
          <w:rFonts w:ascii="Calibri" w:hAnsi="Calibri" w:cs="Tahoma"/>
          <w:sz w:val="22"/>
          <w:szCs w:val="22"/>
        </w:rPr>
        <w:t>Najwięcej</w:t>
      </w:r>
      <w:r w:rsidR="00904DB6" w:rsidRPr="00662F03">
        <w:rPr>
          <w:rFonts w:ascii="Calibri" w:hAnsi="Calibri" w:cs="Tahoma"/>
          <w:sz w:val="22"/>
          <w:szCs w:val="22"/>
        </w:rPr>
        <w:t xml:space="preserve"> – 8</w:t>
      </w:r>
      <w:r w:rsidRPr="00662F03">
        <w:rPr>
          <w:rFonts w:ascii="Calibri" w:hAnsi="Calibri" w:cs="Tahoma"/>
          <w:sz w:val="22"/>
          <w:szCs w:val="22"/>
        </w:rPr>
        <w:t>8</w:t>
      </w:r>
      <w:r w:rsidR="00904DB6" w:rsidRPr="00662F03">
        <w:rPr>
          <w:rFonts w:ascii="Calibri" w:hAnsi="Calibri" w:cs="Tahoma"/>
          <w:sz w:val="22"/>
          <w:szCs w:val="22"/>
        </w:rPr>
        <w:t>,</w:t>
      </w:r>
      <w:r w:rsidRPr="00662F03">
        <w:rPr>
          <w:rFonts w:ascii="Calibri" w:hAnsi="Calibri" w:cs="Tahoma"/>
          <w:sz w:val="22"/>
          <w:szCs w:val="22"/>
        </w:rPr>
        <w:t>5</w:t>
      </w:r>
      <w:r w:rsidR="00904DB6" w:rsidRPr="00662F03">
        <w:rPr>
          <w:rFonts w:ascii="Calibri" w:hAnsi="Calibri" w:cs="Tahoma"/>
          <w:sz w:val="22"/>
          <w:szCs w:val="22"/>
        </w:rPr>
        <w:t>%</w:t>
      </w:r>
      <w:r w:rsidR="00551DB0" w:rsidRPr="00662F03">
        <w:rPr>
          <w:rFonts w:ascii="Calibri" w:hAnsi="Calibri" w:cs="Tahoma"/>
          <w:sz w:val="22"/>
          <w:szCs w:val="22"/>
        </w:rPr>
        <w:t xml:space="preserve"> </w:t>
      </w:r>
      <w:r w:rsidR="00904DB6" w:rsidRPr="00662F03">
        <w:rPr>
          <w:rFonts w:ascii="Calibri" w:hAnsi="Calibri" w:cs="Tahoma"/>
          <w:sz w:val="22"/>
          <w:szCs w:val="22"/>
        </w:rPr>
        <w:t xml:space="preserve">poniesionych </w:t>
      </w:r>
      <w:r w:rsidR="007D24D1" w:rsidRPr="00662F03">
        <w:rPr>
          <w:rFonts w:ascii="Calibri" w:hAnsi="Calibri" w:cs="Tahoma"/>
          <w:sz w:val="22"/>
          <w:szCs w:val="22"/>
        </w:rPr>
        <w:t>nakładów</w:t>
      </w:r>
      <w:r w:rsidR="00904DB6" w:rsidRPr="00662F03">
        <w:rPr>
          <w:rFonts w:ascii="Calibri" w:hAnsi="Calibri" w:cs="Tahoma"/>
          <w:sz w:val="22"/>
          <w:szCs w:val="22"/>
        </w:rPr>
        <w:t xml:space="preserve"> przeznaczono na </w:t>
      </w:r>
      <w:r w:rsidR="007D24D1" w:rsidRPr="00662F03">
        <w:rPr>
          <w:rFonts w:ascii="Calibri" w:hAnsi="Calibri" w:cs="Tahoma"/>
          <w:sz w:val="22"/>
          <w:szCs w:val="22"/>
        </w:rPr>
        <w:t>gospodarkę ściekową</w:t>
      </w:r>
      <w:r w:rsidR="00551DB0" w:rsidRPr="00662F03">
        <w:rPr>
          <w:rFonts w:ascii="Calibri" w:hAnsi="Calibri" w:cs="Tahoma"/>
          <w:sz w:val="22"/>
          <w:szCs w:val="22"/>
        </w:rPr>
        <w:t xml:space="preserve"> </w:t>
      </w:r>
      <w:r w:rsidR="00904DB6" w:rsidRPr="00662F03">
        <w:rPr>
          <w:rFonts w:ascii="Calibri" w:hAnsi="Calibri" w:cs="Tahoma"/>
          <w:sz w:val="22"/>
          <w:szCs w:val="22"/>
        </w:rPr>
        <w:t xml:space="preserve">i </w:t>
      </w:r>
      <w:r w:rsidR="007D24D1" w:rsidRPr="00662F03">
        <w:rPr>
          <w:rFonts w:ascii="Calibri" w:hAnsi="Calibri" w:cs="Tahoma"/>
          <w:sz w:val="22"/>
          <w:szCs w:val="22"/>
        </w:rPr>
        <w:t>ochronę</w:t>
      </w:r>
      <w:r w:rsidR="00AB1639" w:rsidRPr="00662F03">
        <w:rPr>
          <w:rFonts w:ascii="Calibri" w:hAnsi="Calibri" w:cs="Tahoma"/>
          <w:sz w:val="22"/>
          <w:szCs w:val="22"/>
        </w:rPr>
        <w:t xml:space="preserve"> wód</w:t>
      </w:r>
      <w:r w:rsidR="00904DB6" w:rsidRPr="00662F03">
        <w:rPr>
          <w:rFonts w:ascii="Calibri" w:hAnsi="Calibri" w:cs="Tahoma"/>
          <w:sz w:val="22"/>
          <w:szCs w:val="22"/>
        </w:rPr>
        <w:t>.</w:t>
      </w:r>
      <w:r w:rsidR="00551DB0" w:rsidRPr="00662F03">
        <w:rPr>
          <w:rFonts w:ascii="Calibri" w:hAnsi="Calibri" w:cs="Tahoma"/>
          <w:sz w:val="22"/>
          <w:szCs w:val="22"/>
        </w:rPr>
        <w:t xml:space="preserve"> Nakł</w:t>
      </w:r>
      <w:r w:rsidR="00904DB6" w:rsidRPr="00662F03">
        <w:rPr>
          <w:rFonts w:ascii="Calibri" w:hAnsi="Calibri" w:cs="Tahoma"/>
          <w:sz w:val="22"/>
          <w:szCs w:val="22"/>
        </w:rPr>
        <w:t xml:space="preserve">ady na </w:t>
      </w:r>
      <w:r w:rsidR="00551DB0" w:rsidRPr="00662F03">
        <w:rPr>
          <w:rFonts w:ascii="Calibri" w:hAnsi="Calibri" w:cs="Tahoma"/>
          <w:sz w:val="22"/>
          <w:szCs w:val="22"/>
        </w:rPr>
        <w:t>środki trwałe służące</w:t>
      </w:r>
      <w:r w:rsidR="00904DB6" w:rsidRPr="00662F03">
        <w:rPr>
          <w:rFonts w:ascii="Calibri" w:hAnsi="Calibri" w:cs="Tahoma"/>
          <w:sz w:val="22"/>
          <w:szCs w:val="22"/>
        </w:rPr>
        <w:t xml:space="preserve"> gospodarce wodnej wyni</w:t>
      </w:r>
      <w:r w:rsidR="00551DB0" w:rsidRPr="00662F03">
        <w:rPr>
          <w:rFonts w:ascii="Calibri" w:hAnsi="Calibri" w:cs="Tahoma"/>
          <w:sz w:val="22"/>
          <w:szCs w:val="22"/>
        </w:rPr>
        <w:t>osł</w:t>
      </w:r>
      <w:r w:rsidR="00904DB6" w:rsidRPr="00662F03">
        <w:rPr>
          <w:rFonts w:ascii="Calibri" w:hAnsi="Calibri" w:cs="Tahoma"/>
          <w:sz w:val="22"/>
          <w:szCs w:val="22"/>
        </w:rPr>
        <w:t>y</w:t>
      </w:r>
      <w:r w:rsidR="00551DB0" w:rsidRPr="00662F03">
        <w:rPr>
          <w:rFonts w:ascii="Calibri" w:hAnsi="Calibri" w:cs="Tahoma"/>
          <w:sz w:val="22"/>
          <w:szCs w:val="22"/>
        </w:rPr>
        <w:t xml:space="preserve"> łącznie </w:t>
      </w:r>
      <w:r w:rsidR="00AB1639" w:rsidRPr="00662F03">
        <w:rPr>
          <w:rFonts w:ascii="Calibri" w:hAnsi="Calibri" w:cs="Tahoma"/>
          <w:sz w:val="22"/>
          <w:szCs w:val="22"/>
        </w:rPr>
        <w:t>1169,5 tys.</w:t>
      </w:r>
      <w:r w:rsidR="00551DB0" w:rsidRPr="00662F03">
        <w:rPr>
          <w:rFonts w:ascii="Calibri" w:hAnsi="Calibri" w:cs="Tahoma"/>
          <w:sz w:val="22"/>
          <w:szCs w:val="22"/>
        </w:rPr>
        <w:t xml:space="preserve"> zł, a w przeliczeniu na mieszkańca </w:t>
      </w:r>
      <w:r w:rsidR="00AB1639" w:rsidRPr="00662F03">
        <w:rPr>
          <w:rFonts w:ascii="Calibri" w:hAnsi="Calibri" w:cs="Tahoma"/>
          <w:sz w:val="22"/>
          <w:szCs w:val="22"/>
        </w:rPr>
        <w:t>miasta 29</w:t>
      </w:r>
      <w:r w:rsidR="00551DB0" w:rsidRPr="00662F03">
        <w:rPr>
          <w:rFonts w:ascii="Calibri" w:hAnsi="Calibri" w:cs="Tahoma"/>
          <w:sz w:val="22"/>
          <w:szCs w:val="22"/>
        </w:rPr>
        <w:t xml:space="preserve"> zł</w:t>
      </w:r>
      <w:r w:rsidR="00904DB6" w:rsidRPr="00662F03">
        <w:rPr>
          <w:rFonts w:ascii="Calibri" w:hAnsi="Calibri" w:cs="Tahoma"/>
          <w:sz w:val="22"/>
          <w:szCs w:val="22"/>
        </w:rPr>
        <w:t>.</w:t>
      </w:r>
      <w:r w:rsidR="00551DB0" w:rsidRPr="00662F03">
        <w:rPr>
          <w:rFonts w:ascii="Calibri" w:hAnsi="Calibri" w:cs="Tahoma"/>
          <w:sz w:val="22"/>
          <w:szCs w:val="22"/>
        </w:rPr>
        <w:t xml:space="preserve"> Ś</w:t>
      </w:r>
      <w:r w:rsidR="00904DB6" w:rsidRPr="00662F03">
        <w:rPr>
          <w:rFonts w:ascii="Calibri" w:hAnsi="Calibri" w:cs="Tahoma"/>
          <w:sz w:val="22"/>
          <w:szCs w:val="22"/>
        </w:rPr>
        <w:t>rodki finansowe przeznaczono</w:t>
      </w:r>
      <w:r w:rsidR="00551DB0" w:rsidRPr="00662F03">
        <w:rPr>
          <w:rFonts w:ascii="Calibri" w:hAnsi="Calibri" w:cs="Tahoma"/>
          <w:sz w:val="22"/>
          <w:szCs w:val="22"/>
        </w:rPr>
        <w:t xml:space="preserve"> </w:t>
      </w:r>
      <w:r w:rsidR="00AB1639" w:rsidRPr="00662F03">
        <w:rPr>
          <w:rFonts w:ascii="Calibri" w:hAnsi="Calibri" w:cs="Tahoma"/>
          <w:sz w:val="22"/>
          <w:szCs w:val="22"/>
        </w:rPr>
        <w:t xml:space="preserve">w 100% </w:t>
      </w:r>
      <w:r w:rsidR="00551DB0" w:rsidRPr="00662F03">
        <w:rPr>
          <w:rFonts w:ascii="Calibri" w:hAnsi="Calibri" w:cs="Tahoma"/>
          <w:sz w:val="22"/>
          <w:szCs w:val="22"/>
        </w:rPr>
        <w:t>na uję</w:t>
      </w:r>
      <w:r w:rsidR="00904DB6" w:rsidRPr="00662F03">
        <w:rPr>
          <w:rFonts w:ascii="Calibri" w:hAnsi="Calibri" w:cs="Tahoma"/>
          <w:sz w:val="22"/>
          <w:szCs w:val="22"/>
        </w:rPr>
        <w:t>cia i doprowadzenia</w:t>
      </w:r>
      <w:r w:rsidR="00551DB0" w:rsidRPr="00662F03">
        <w:rPr>
          <w:rFonts w:ascii="Calibri" w:hAnsi="Calibri" w:cs="Tahoma"/>
          <w:sz w:val="22"/>
          <w:szCs w:val="22"/>
        </w:rPr>
        <w:t xml:space="preserve"> </w:t>
      </w:r>
      <w:r w:rsidR="00DD0F86" w:rsidRPr="00662F03">
        <w:rPr>
          <w:rFonts w:ascii="Calibri" w:hAnsi="Calibri" w:cs="Tahoma"/>
          <w:sz w:val="22"/>
          <w:szCs w:val="22"/>
        </w:rPr>
        <w:t>wody.</w:t>
      </w:r>
    </w:p>
    <w:p w:rsidR="00C76DA5" w:rsidRDefault="00C76DA5">
      <w:pPr>
        <w:rPr>
          <w:rFonts w:ascii="Calibri" w:hAnsi="Calibri" w:cs="Tahoma"/>
          <w:sz w:val="22"/>
          <w:szCs w:val="22"/>
        </w:rPr>
      </w:pPr>
      <w:r>
        <w:rPr>
          <w:rFonts w:ascii="Calibri" w:hAnsi="Calibri" w:cs="Tahoma"/>
          <w:sz w:val="22"/>
          <w:szCs w:val="22"/>
        </w:rPr>
        <w:br w:type="page"/>
      </w:r>
    </w:p>
    <w:p w:rsidR="004717D3" w:rsidRPr="00662F03" w:rsidRDefault="005433B6" w:rsidP="00F86A59">
      <w:pPr>
        <w:shd w:val="clear" w:color="auto" w:fill="FFFFFF"/>
        <w:jc w:val="both"/>
        <w:outlineLvl w:val="3"/>
        <w:rPr>
          <w:rFonts w:ascii="Calibri" w:hAnsi="Calibri"/>
        </w:rPr>
      </w:pPr>
      <w:r>
        <w:rPr>
          <w:rFonts w:ascii="Calibri" w:hAnsi="Calibri"/>
        </w:rPr>
      </w:r>
      <w:r w:rsidR="00072369">
        <w:rPr>
          <w:rFonts w:ascii="Calibri" w:hAnsi="Calibri"/>
        </w:rPr>
        <w:pict>
          <v:roundrect id="_x0000_s1045"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45;mso-fit-shape-to-text:t" inset=",,36pt,18pt">
              <w:txbxContent>
                <w:p w:rsidR="00D24064" w:rsidRPr="00EC0E96" w:rsidRDefault="00D24064" w:rsidP="0039174D">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39174D" w:rsidRPr="008E3983" w:rsidRDefault="0039174D" w:rsidP="0039174D">
      <w:pPr>
        <w:shd w:val="clear" w:color="auto" w:fill="FFFFFF"/>
        <w:spacing w:after="75"/>
        <w:jc w:val="both"/>
        <w:outlineLvl w:val="3"/>
        <w:rPr>
          <w:rFonts w:ascii="Calibri" w:hAnsi="Calibri" w:cs="Tahoma"/>
          <w:shadow/>
          <w:color w:val="808080"/>
          <w:sz w:val="22"/>
        </w:rPr>
      </w:pPr>
      <w:r w:rsidRPr="008E3983">
        <w:rPr>
          <w:rFonts w:ascii="Calibri" w:hAnsi="Calibri" w:cs="Tahoma"/>
          <w:shadow/>
          <w:color w:val="808080"/>
          <w:sz w:val="22"/>
        </w:rPr>
        <w:t xml:space="preserve">Mieszkańcy miasta twierdzą, że powietrze jest tu czyste. Tego zdania jest 82% (ocena ważona) mieszkańców. Mniej o tym są przekonani mężczyźni niż kobiety. Również w grupie osób z wyższym wykształceniem oraz mieszkańców w wieku 30-39 </w:t>
      </w:r>
      <w:r w:rsidR="00F86A59">
        <w:rPr>
          <w:rFonts w:ascii="Calibri" w:hAnsi="Calibri" w:cs="Tahoma"/>
          <w:shadow/>
          <w:color w:val="808080"/>
          <w:sz w:val="22"/>
        </w:rPr>
        <w:t xml:space="preserve">lat </w:t>
      </w:r>
      <w:r w:rsidRPr="008E3983">
        <w:rPr>
          <w:rFonts w:ascii="Calibri" w:hAnsi="Calibri" w:cs="Tahoma"/>
          <w:shadow/>
          <w:color w:val="808080"/>
          <w:sz w:val="22"/>
        </w:rPr>
        <w:t>jest mniej przekonanych, że tak jest, choć należy zaznaczyć, że w żadnej grupie nie odnotowano odmiennego zdania niż większości. Czystość powietrza jest dla mieszkańców ważnym kryterium oceny atrakcyjności miasta jako miejsca zamieszkania. Płeć nie różnicuje opinii w tym zakresie. Pod względem wykształcenia różnice są nieznaczne, najniżej kryterium to oceniają osoby z wykształceniem średnim i policealnym, najwyżej z zasadniczym zawodowym i poniżej. Waga oceny tego kr</w:t>
      </w:r>
      <w:r w:rsidR="00AE50C3" w:rsidRPr="008E3983">
        <w:rPr>
          <w:rFonts w:ascii="Calibri" w:hAnsi="Calibri" w:cs="Tahoma"/>
          <w:shadow/>
          <w:color w:val="808080"/>
          <w:sz w:val="22"/>
        </w:rPr>
        <w:t>yterium wzrasta wraz z wiekiem.</w:t>
      </w:r>
    </w:p>
    <w:p w:rsidR="0039174D" w:rsidRPr="008E3983" w:rsidRDefault="0039174D" w:rsidP="0039174D">
      <w:pPr>
        <w:shd w:val="clear" w:color="auto" w:fill="FFFFFF"/>
        <w:spacing w:before="150" w:after="75"/>
        <w:jc w:val="both"/>
        <w:outlineLvl w:val="3"/>
        <w:rPr>
          <w:rFonts w:ascii="Calibri" w:hAnsi="Calibri" w:cs="Tahoma"/>
          <w:shadow/>
          <w:color w:val="808080"/>
          <w:sz w:val="22"/>
        </w:rPr>
      </w:pPr>
      <w:r w:rsidRPr="008E3983">
        <w:rPr>
          <w:rFonts w:ascii="Calibri" w:hAnsi="Calibri" w:cs="Tahoma"/>
          <w:b/>
          <w:shadow/>
          <w:color w:val="808080"/>
          <w:sz w:val="22"/>
        </w:rPr>
        <w:t>Wnioski:</w:t>
      </w:r>
      <w:r w:rsidRPr="008E3983">
        <w:rPr>
          <w:rFonts w:ascii="Calibri" w:hAnsi="Calibri" w:cs="Tahoma"/>
          <w:shadow/>
          <w:color w:val="808080"/>
          <w:sz w:val="22"/>
        </w:rPr>
        <w:t xml:space="preserve"> Czystość powietrza w mieście jest uważana przez mieszkańców za jego mocną stronę. Jest też postrzegana jako ważne kryterium oceny atrakcyjności miasta jako miejsca zamieszkania. Zatem działania zaplanowane w ramach strategii powinny dotyczyć utrzymania dobrego stanu powietrza i jego poprawy.</w:t>
      </w:r>
    </w:p>
    <w:p w:rsidR="0039174D" w:rsidRPr="00123EB4" w:rsidRDefault="00AE50C3" w:rsidP="00123EB4">
      <w:pPr>
        <w:pStyle w:val="Legenda"/>
        <w:jc w:val="both"/>
        <w:rPr>
          <w:rFonts w:ascii="Calibri" w:hAnsi="Calibri" w:cs="Tahoma"/>
          <w:b w:val="0"/>
          <w:shadow/>
          <w:color w:val="808080"/>
          <w:szCs w:val="22"/>
        </w:rPr>
      </w:pPr>
      <w:bookmarkStart w:id="52" w:name="_Toc315790503"/>
      <w:r w:rsidRPr="00123EB4">
        <w:rPr>
          <w:rFonts w:ascii="Calibri" w:hAnsi="Calibri"/>
          <w:b w:val="0"/>
          <w:sz w:val="18"/>
        </w:rPr>
        <w:t xml:space="preserve">Wykres </w:t>
      </w:r>
      <w:r w:rsidR="005433B6" w:rsidRPr="00123EB4">
        <w:rPr>
          <w:rFonts w:ascii="Calibri" w:hAnsi="Calibri"/>
          <w:b w:val="0"/>
          <w:sz w:val="18"/>
        </w:rPr>
        <w:fldChar w:fldCharType="begin"/>
      </w:r>
      <w:r w:rsidRPr="00123EB4">
        <w:rPr>
          <w:rFonts w:ascii="Calibri" w:hAnsi="Calibri"/>
          <w:b w:val="0"/>
          <w:sz w:val="18"/>
        </w:rPr>
        <w:instrText xml:space="preserve"> SEQ Wykres \* ARABIC </w:instrText>
      </w:r>
      <w:r w:rsidR="005433B6" w:rsidRPr="00123EB4">
        <w:rPr>
          <w:rFonts w:ascii="Calibri" w:hAnsi="Calibri"/>
          <w:b w:val="0"/>
          <w:sz w:val="18"/>
        </w:rPr>
        <w:fldChar w:fldCharType="separate"/>
      </w:r>
      <w:r w:rsidR="00D377D1" w:rsidRPr="00123EB4">
        <w:rPr>
          <w:rFonts w:ascii="Calibri" w:hAnsi="Calibri"/>
          <w:b w:val="0"/>
          <w:noProof/>
          <w:sz w:val="18"/>
        </w:rPr>
        <w:t>34</w:t>
      </w:r>
      <w:r w:rsidR="005433B6" w:rsidRPr="00123EB4">
        <w:rPr>
          <w:rFonts w:ascii="Calibri" w:hAnsi="Calibri"/>
          <w:b w:val="0"/>
          <w:sz w:val="18"/>
        </w:rPr>
        <w:fldChar w:fldCharType="end"/>
      </w:r>
      <w:r w:rsidRPr="00123EB4">
        <w:rPr>
          <w:rFonts w:ascii="Calibri" w:hAnsi="Calibri"/>
          <w:b w:val="0"/>
          <w:sz w:val="18"/>
        </w:rPr>
        <w:t>.</w:t>
      </w:r>
      <w:r w:rsidR="00123EB4" w:rsidRPr="00123EB4">
        <w:rPr>
          <w:sz w:val="18"/>
        </w:rPr>
        <w:t xml:space="preserve"> </w:t>
      </w:r>
      <w:r w:rsidR="00123EB4" w:rsidRPr="00123EB4">
        <w:rPr>
          <w:rFonts w:ascii="Calibri" w:hAnsi="Calibri"/>
          <w:b w:val="0"/>
          <w:sz w:val="18"/>
        </w:rPr>
        <w:t>Rozkład odpowiedzi na pytanie, czy mieszkańcy zgadzają się z twierdzeniem, że w mieście powietrze jest czyste.</w:t>
      </w:r>
      <w:bookmarkEnd w:id="52"/>
    </w:p>
    <w:p w:rsidR="0039174D" w:rsidRPr="00662F03" w:rsidRDefault="005B1628" w:rsidP="008E3983">
      <w:pPr>
        <w:jc w:val="center"/>
        <w:rPr>
          <w:rFonts w:ascii="Calibri" w:hAnsi="Calibri"/>
        </w:rPr>
      </w:pPr>
      <w:r>
        <w:rPr>
          <w:rFonts w:ascii="Calibri" w:hAnsi="Calibri"/>
          <w:noProof/>
        </w:rPr>
        <w:drawing>
          <wp:inline distT="0" distB="0" distL="0" distR="0">
            <wp:extent cx="5170746" cy="2658139"/>
            <wp:effectExtent l="19050" t="0" r="10854" b="8861"/>
            <wp:docPr id="45" name="Wykres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E50C3" w:rsidRPr="00123EB4" w:rsidRDefault="00AE50C3" w:rsidP="00123EB4">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4D5193" w:rsidRPr="00123EB4" w:rsidRDefault="004D5193" w:rsidP="00123EB4">
      <w:pPr>
        <w:pStyle w:val="Legenda"/>
        <w:jc w:val="both"/>
        <w:rPr>
          <w:rFonts w:ascii="Calibri" w:hAnsi="Calibri"/>
          <w:b w:val="0"/>
          <w:sz w:val="18"/>
        </w:rPr>
      </w:pPr>
    </w:p>
    <w:p w:rsidR="00AE50C3" w:rsidRPr="00123EB4" w:rsidRDefault="00AE50C3" w:rsidP="00123EB4">
      <w:pPr>
        <w:pStyle w:val="Legenda"/>
        <w:jc w:val="both"/>
        <w:rPr>
          <w:rFonts w:ascii="Calibri" w:hAnsi="Calibri"/>
          <w:b w:val="0"/>
          <w:sz w:val="18"/>
        </w:rPr>
      </w:pPr>
      <w:bookmarkStart w:id="53" w:name="_Toc315790504"/>
      <w:r w:rsidRPr="00123EB4">
        <w:rPr>
          <w:rFonts w:ascii="Calibri" w:hAnsi="Calibri"/>
          <w:b w:val="0"/>
          <w:sz w:val="18"/>
        </w:rPr>
        <w:t xml:space="preserve">Wykres </w:t>
      </w:r>
      <w:r w:rsidR="005433B6" w:rsidRPr="00123EB4">
        <w:rPr>
          <w:rFonts w:ascii="Calibri" w:hAnsi="Calibri"/>
          <w:b w:val="0"/>
          <w:sz w:val="18"/>
        </w:rPr>
        <w:fldChar w:fldCharType="begin"/>
      </w:r>
      <w:r w:rsidRPr="00123EB4">
        <w:rPr>
          <w:rFonts w:ascii="Calibri" w:hAnsi="Calibri"/>
          <w:b w:val="0"/>
          <w:sz w:val="18"/>
        </w:rPr>
        <w:instrText xml:space="preserve"> SEQ Wykres \* ARABIC </w:instrText>
      </w:r>
      <w:r w:rsidR="005433B6" w:rsidRPr="00123EB4">
        <w:rPr>
          <w:rFonts w:ascii="Calibri" w:hAnsi="Calibri"/>
          <w:b w:val="0"/>
          <w:sz w:val="18"/>
        </w:rPr>
        <w:fldChar w:fldCharType="separate"/>
      </w:r>
      <w:r w:rsidR="00D377D1" w:rsidRPr="00123EB4">
        <w:rPr>
          <w:rFonts w:ascii="Calibri" w:hAnsi="Calibri"/>
          <w:b w:val="0"/>
          <w:noProof/>
          <w:sz w:val="18"/>
        </w:rPr>
        <w:t>35</w:t>
      </w:r>
      <w:r w:rsidR="005433B6" w:rsidRPr="00123EB4">
        <w:rPr>
          <w:rFonts w:ascii="Calibri" w:hAnsi="Calibri"/>
          <w:b w:val="0"/>
          <w:sz w:val="18"/>
        </w:rPr>
        <w:fldChar w:fldCharType="end"/>
      </w:r>
      <w:r w:rsidRPr="00123EB4">
        <w:rPr>
          <w:rFonts w:ascii="Calibri" w:hAnsi="Calibri"/>
          <w:b w:val="0"/>
          <w:sz w:val="18"/>
        </w:rPr>
        <w:t>.</w:t>
      </w:r>
      <w:r w:rsidR="00123EB4" w:rsidRPr="00123EB4">
        <w:rPr>
          <w:sz w:val="18"/>
        </w:rPr>
        <w:t xml:space="preserve"> </w:t>
      </w:r>
      <w:r w:rsidR="00123EB4" w:rsidRPr="00123EB4">
        <w:rPr>
          <w:rFonts w:ascii="Calibri" w:hAnsi="Calibri"/>
          <w:b w:val="0"/>
          <w:sz w:val="18"/>
        </w:rPr>
        <w:t>Średnia oceny, czy czystość powietrza ma znaczenie w atrakcyjności miasta jako miejsca zamieszkania.</w:t>
      </w:r>
      <w:bookmarkEnd w:id="53"/>
    </w:p>
    <w:p w:rsidR="0039174D" w:rsidRPr="00662F03" w:rsidRDefault="005B1628" w:rsidP="008E3983">
      <w:pPr>
        <w:jc w:val="center"/>
        <w:rPr>
          <w:rFonts w:ascii="Calibri" w:hAnsi="Calibri"/>
        </w:rPr>
      </w:pPr>
      <w:r>
        <w:rPr>
          <w:rFonts w:ascii="Calibri" w:hAnsi="Calibri"/>
          <w:noProof/>
        </w:rPr>
        <w:drawing>
          <wp:inline distT="0" distB="0" distL="0" distR="0">
            <wp:extent cx="5007285" cy="2604976"/>
            <wp:effectExtent l="19050" t="0" r="21915" b="4874"/>
            <wp:docPr id="46" name="Wykres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E50C3" w:rsidRPr="00123EB4" w:rsidRDefault="00AE50C3" w:rsidP="00AE50C3">
      <w:pPr>
        <w:jc w:val="both"/>
        <w:rPr>
          <w:rFonts w:ascii="Calibri" w:hAnsi="Calibri" w:cs="Calibri"/>
          <w:noProof/>
          <w:sz w:val="18"/>
          <w:szCs w:val="20"/>
        </w:rPr>
      </w:pPr>
      <w:r w:rsidRPr="00123EB4">
        <w:rPr>
          <w:rFonts w:ascii="Calibri" w:hAnsi="Calibri" w:cs="Calibri"/>
          <w:noProof/>
          <w:sz w:val="18"/>
          <w:szCs w:val="20"/>
        </w:rPr>
        <w:t>Źródło: opracowanie własne na podstawie wyników badań ankietowych.</w:t>
      </w:r>
    </w:p>
    <w:p w:rsidR="0039174D" w:rsidRPr="00662F03" w:rsidRDefault="0039174D" w:rsidP="00FC1796">
      <w:pPr>
        <w:shd w:val="clear" w:color="auto" w:fill="FFFFFF"/>
        <w:spacing w:before="150" w:after="75"/>
        <w:jc w:val="both"/>
        <w:outlineLvl w:val="3"/>
        <w:rPr>
          <w:rFonts w:ascii="Calibri" w:hAnsi="Calibri" w:cs="Tahoma"/>
          <w:sz w:val="22"/>
          <w:szCs w:val="22"/>
        </w:rPr>
      </w:pPr>
    </w:p>
    <w:p w:rsidR="00FC1796" w:rsidRPr="00662F03" w:rsidRDefault="005433B6" w:rsidP="00FC1796">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44" style="width:449.8pt;height:143.4pt;rotation:-360;mso-position-horizontal-relative:char;mso-position-vertical-relative:line" o:allowincell="f" fillcolor="#a7bfde" stroked="f">
            <v:fill opacity="13107f"/>
            <v:imagedata embosscolor="shadow add(51)"/>
            <v:shadow on="t" color="#d4cfb3" opacity=".5" offset="19pt,-21pt" offset2="26pt,-30pt"/>
            <v:textbox style="mso-next-textbox:#_x0000_s1044;mso-fit-shape-to-text:t" inset="28.8pt,7.2pt,14.4pt,28.8pt">
              <w:txbxContent>
                <w:p w:rsidR="00D24064" w:rsidRPr="00EC0E96" w:rsidRDefault="00D24064" w:rsidP="00FC1796">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Default="00D24064" w:rsidP="00FC1796">
                  <w:pPr>
                    <w:jc w:val="both"/>
                    <w:rPr>
                      <w:rFonts w:ascii="Calibri" w:hAnsi="Calibri"/>
                      <w:i/>
                      <w:iCs/>
                      <w:color w:val="1F497D"/>
                      <w:sz w:val="22"/>
                      <w:szCs w:val="28"/>
                    </w:rPr>
                  </w:pPr>
                  <w:r w:rsidRPr="00746216">
                    <w:rPr>
                      <w:rFonts w:ascii="Calibri" w:hAnsi="Calibri"/>
                      <w:i/>
                      <w:iCs/>
                      <w:color w:val="1F497D"/>
                      <w:sz w:val="22"/>
                      <w:szCs w:val="28"/>
                    </w:rPr>
                    <w:t>Nowa Sól graniczy z atrakcyjnym przyrodniczo obszarem - obszarem chronionego krajobrazu - Nowosolską Doliną Odry. Jednak w samym mieście powierzchnia parków i lasów, zieleńców, zieleni ulicznej i osiedlowej, zieleni ogólnodostępnej jest zbyt mała.</w:t>
                  </w:r>
                </w:p>
                <w:p w:rsidR="00D24064" w:rsidRDefault="00D24064" w:rsidP="00746216">
                  <w:pPr>
                    <w:jc w:val="both"/>
                    <w:rPr>
                      <w:rFonts w:ascii="Calibri" w:hAnsi="Calibri"/>
                      <w:i/>
                      <w:iCs/>
                      <w:color w:val="1F497D"/>
                      <w:sz w:val="22"/>
                      <w:szCs w:val="28"/>
                    </w:rPr>
                  </w:pPr>
                  <w:r w:rsidRPr="00EC0E96">
                    <w:rPr>
                      <w:rFonts w:ascii="Calibri" w:hAnsi="Calibri"/>
                      <w:i/>
                      <w:iCs/>
                      <w:color w:val="1F497D"/>
                      <w:sz w:val="22"/>
                      <w:szCs w:val="28"/>
                    </w:rPr>
                    <w:t>Istotnymi problemami dla miasta są: ponadnormatywne zanieczyszczenie wód Odry</w:t>
                  </w:r>
                  <w:r>
                    <w:rPr>
                      <w:rFonts w:ascii="Calibri" w:hAnsi="Calibri"/>
                      <w:i/>
                      <w:iCs/>
                      <w:color w:val="1F497D"/>
                      <w:sz w:val="22"/>
                      <w:szCs w:val="28"/>
                    </w:rPr>
                    <w:t xml:space="preserve"> i Czarnej Strugi</w:t>
                  </w:r>
                  <w:r w:rsidRPr="00EC0E96">
                    <w:rPr>
                      <w:rFonts w:ascii="Calibri" w:hAnsi="Calibri"/>
                      <w:i/>
                      <w:iCs/>
                      <w:color w:val="1F497D"/>
                      <w:sz w:val="22"/>
                      <w:szCs w:val="28"/>
                    </w:rPr>
                    <w:t>, zanieczyszczenie powietrza i hałas komunikacyjny. Tylko niewielka ilość zanieczyszczeń pyłowych jest zatrzymanych lub neutralizowanych w zak</w:t>
                  </w:r>
                  <w:r>
                    <w:rPr>
                      <w:rFonts w:ascii="Calibri" w:hAnsi="Calibri"/>
                      <w:i/>
                      <w:iCs/>
                      <w:color w:val="1F497D"/>
                      <w:sz w:val="22"/>
                      <w:szCs w:val="28"/>
                    </w:rPr>
                    <w:t>ładach szczególnie uciążliwych.</w:t>
                  </w:r>
                </w:p>
                <w:p w:rsidR="00D24064" w:rsidRPr="00746216" w:rsidRDefault="00D24064" w:rsidP="00746216">
                  <w:pPr>
                    <w:jc w:val="both"/>
                    <w:rPr>
                      <w:rFonts w:ascii="Calibri" w:hAnsi="Calibri"/>
                      <w:i/>
                      <w:iCs/>
                      <w:color w:val="1F497D"/>
                      <w:sz w:val="22"/>
                      <w:szCs w:val="28"/>
                    </w:rPr>
                  </w:pPr>
                  <w:r>
                    <w:rPr>
                      <w:rFonts w:ascii="Calibri" w:hAnsi="Calibri"/>
                      <w:i/>
                      <w:iCs/>
                      <w:color w:val="1F497D"/>
                      <w:sz w:val="22"/>
                      <w:szCs w:val="28"/>
                    </w:rPr>
                    <w:t>W ostatnich latach znacznie wzrosła ilość wytworzonych odpadów.</w:t>
                  </w:r>
                </w:p>
              </w:txbxContent>
            </v:textbox>
            <w10:wrap type="none" anchorx="margin" anchory="page"/>
            <w10:anchorlock/>
          </v:rect>
        </w:pict>
      </w:r>
    </w:p>
    <w:p w:rsidR="00FC1796" w:rsidRPr="00662F03" w:rsidRDefault="00FC1796" w:rsidP="004E5A9A">
      <w:pPr>
        <w:jc w:val="both"/>
        <w:rPr>
          <w:rFonts w:ascii="Calibri" w:hAnsi="Calibri"/>
          <w:sz w:val="22"/>
          <w:szCs w:val="22"/>
        </w:rPr>
      </w:pPr>
    </w:p>
    <w:p w:rsidR="00270B39" w:rsidRPr="00662F03" w:rsidRDefault="0078532F" w:rsidP="007F5FC1">
      <w:pPr>
        <w:pStyle w:val="Nagwek2"/>
        <w:numPr>
          <w:ilvl w:val="1"/>
          <w:numId w:val="1"/>
        </w:numPr>
        <w:spacing w:line="240" w:lineRule="auto"/>
        <w:rPr>
          <w:rFonts w:ascii="Calibri" w:hAnsi="Calibri"/>
          <w:color w:val="17365D"/>
          <w:sz w:val="22"/>
          <w:szCs w:val="22"/>
        </w:rPr>
      </w:pPr>
      <w:bookmarkStart w:id="54" w:name="_Toc316395260"/>
      <w:r w:rsidRPr="00662F03">
        <w:rPr>
          <w:rFonts w:ascii="Calibri" w:hAnsi="Calibri"/>
          <w:color w:val="17365D"/>
          <w:sz w:val="22"/>
          <w:szCs w:val="22"/>
        </w:rPr>
        <w:t>Analiza finansowa miasta</w:t>
      </w:r>
      <w:bookmarkEnd w:id="54"/>
    </w:p>
    <w:p w:rsidR="003451FE" w:rsidRPr="00662F03" w:rsidRDefault="00E06F33"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20</w:t>
      </w:r>
      <w:r w:rsidR="004014E6">
        <w:rPr>
          <w:rFonts w:ascii="Calibri" w:hAnsi="Calibri" w:cs="Tahoma"/>
          <w:sz w:val="22"/>
          <w:szCs w:val="22"/>
        </w:rPr>
        <w:t>10</w:t>
      </w:r>
      <w:r w:rsidRPr="00662F03">
        <w:rPr>
          <w:rFonts w:ascii="Calibri" w:hAnsi="Calibri" w:cs="Tahoma"/>
          <w:sz w:val="22"/>
          <w:szCs w:val="22"/>
        </w:rPr>
        <w:t xml:space="preserve"> r. dochody budżetu</w:t>
      </w:r>
      <w:r w:rsidR="00A4427C" w:rsidRPr="00662F03">
        <w:rPr>
          <w:rFonts w:ascii="Calibri" w:hAnsi="Calibri" w:cs="Tahoma"/>
          <w:sz w:val="22"/>
          <w:szCs w:val="22"/>
        </w:rPr>
        <w:t xml:space="preserve"> Nowej</w:t>
      </w:r>
      <w:r w:rsidRPr="00662F03">
        <w:rPr>
          <w:rFonts w:ascii="Calibri" w:hAnsi="Calibri" w:cs="Tahoma"/>
          <w:sz w:val="22"/>
          <w:szCs w:val="22"/>
        </w:rPr>
        <w:t xml:space="preserve"> S</w:t>
      </w:r>
      <w:r w:rsidR="00A4427C" w:rsidRPr="00662F03">
        <w:rPr>
          <w:rFonts w:ascii="Calibri" w:hAnsi="Calibri" w:cs="Tahoma"/>
          <w:sz w:val="22"/>
          <w:szCs w:val="22"/>
        </w:rPr>
        <w:t>oli</w:t>
      </w:r>
      <w:r w:rsidRPr="00662F03">
        <w:rPr>
          <w:rFonts w:ascii="Calibri" w:hAnsi="Calibri" w:cs="Tahoma"/>
          <w:sz w:val="22"/>
          <w:szCs w:val="22"/>
        </w:rPr>
        <w:t xml:space="preserve"> wzrosły w relacji do poprzedniego roku o </w:t>
      </w:r>
      <w:r w:rsidR="004014E6">
        <w:rPr>
          <w:rFonts w:ascii="Calibri" w:hAnsi="Calibri" w:cs="Tahoma"/>
          <w:sz w:val="22"/>
          <w:szCs w:val="22"/>
        </w:rPr>
        <w:t>1%</w:t>
      </w:r>
      <w:r w:rsidR="00F73B71" w:rsidRPr="00662F03">
        <w:rPr>
          <w:rFonts w:ascii="Calibri" w:hAnsi="Calibri" w:cs="Tahoma"/>
          <w:sz w:val="22"/>
          <w:szCs w:val="22"/>
        </w:rPr>
        <w:t xml:space="preserve"> </w:t>
      </w:r>
      <w:r w:rsidRPr="00662F03">
        <w:rPr>
          <w:rFonts w:ascii="Calibri" w:hAnsi="Calibri" w:cs="Tahoma"/>
          <w:sz w:val="22"/>
          <w:szCs w:val="22"/>
        </w:rPr>
        <w:t xml:space="preserve">przy wzroście wydatków o </w:t>
      </w:r>
      <w:r w:rsidR="000563D4" w:rsidRPr="00662F03">
        <w:rPr>
          <w:rFonts w:ascii="Calibri" w:hAnsi="Calibri" w:cs="Tahoma"/>
          <w:sz w:val="22"/>
          <w:szCs w:val="22"/>
        </w:rPr>
        <w:t xml:space="preserve">ponad </w:t>
      </w:r>
      <w:r w:rsidR="004014E6">
        <w:rPr>
          <w:rFonts w:ascii="Calibri" w:hAnsi="Calibri" w:cs="Tahoma"/>
          <w:sz w:val="22"/>
          <w:szCs w:val="22"/>
        </w:rPr>
        <w:t>18%</w:t>
      </w:r>
      <w:r w:rsidRPr="00662F03">
        <w:rPr>
          <w:rFonts w:ascii="Calibri" w:hAnsi="Calibri" w:cs="Tahoma"/>
          <w:sz w:val="22"/>
          <w:szCs w:val="22"/>
        </w:rPr>
        <w:t xml:space="preserve">. Saldo dochodów i wydatków było ujemne, na poziomie minus </w:t>
      </w:r>
      <w:r w:rsidR="004014E6">
        <w:rPr>
          <w:rFonts w:ascii="Calibri" w:hAnsi="Calibri" w:cs="Tahoma"/>
          <w:sz w:val="22"/>
          <w:szCs w:val="22"/>
        </w:rPr>
        <w:t>21</w:t>
      </w:r>
      <w:r w:rsidRPr="00662F03">
        <w:rPr>
          <w:rFonts w:ascii="Calibri" w:hAnsi="Calibri" w:cs="Tahoma"/>
          <w:sz w:val="22"/>
          <w:szCs w:val="22"/>
        </w:rPr>
        <w:t>,</w:t>
      </w:r>
      <w:r w:rsidR="004014E6">
        <w:rPr>
          <w:rFonts w:ascii="Calibri" w:hAnsi="Calibri" w:cs="Tahoma"/>
          <w:sz w:val="22"/>
          <w:szCs w:val="22"/>
        </w:rPr>
        <w:t>7</w:t>
      </w:r>
      <w:r w:rsidRPr="00662F03">
        <w:rPr>
          <w:rFonts w:ascii="Calibri" w:hAnsi="Calibri" w:cs="Tahoma"/>
          <w:sz w:val="22"/>
          <w:szCs w:val="22"/>
        </w:rPr>
        <w:t xml:space="preserve"> mln zł.</w:t>
      </w:r>
    </w:p>
    <w:p w:rsidR="00157FD0" w:rsidRPr="00662F03" w:rsidRDefault="00A4427C"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przeliczeniu na 1 mieszkańca dochody budżetu Nowej Soli kształtują się na podobnym poziomie jak przeciętnie w województwie lubuskim. Udział środków własnych w ogóle dochodów budżetu w 20</w:t>
      </w:r>
      <w:r w:rsidR="00331A37">
        <w:rPr>
          <w:rFonts w:ascii="Calibri" w:hAnsi="Calibri" w:cs="Tahoma"/>
          <w:sz w:val="22"/>
          <w:szCs w:val="22"/>
        </w:rPr>
        <w:t>10</w:t>
      </w:r>
      <w:r w:rsidRPr="00662F03">
        <w:rPr>
          <w:rFonts w:ascii="Calibri" w:hAnsi="Calibri" w:cs="Tahoma"/>
          <w:sz w:val="22"/>
          <w:szCs w:val="22"/>
        </w:rPr>
        <w:t xml:space="preserve"> r. wyniósł </w:t>
      </w:r>
      <w:r w:rsidR="00331A37">
        <w:rPr>
          <w:rFonts w:ascii="Calibri" w:hAnsi="Calibri" w:cs="Tahoma"/>
          <w:sz w:val="22"/>
          <w:szCs w:val="22"/>
        </w:rPr>
        <w:t>48</w:t>
      </w:r>
      <w:r w:rsidRPr="00662F03">
        <w:rPr>
          <w:rFonts w:ascii="Calibri" w:hAnsi="Calibri" w:cs="Tahoma"/>
          <w:sz w:val="22"/>
          <w:szCs w:val="22"/>
        </w:rPr>
        <w:t xml:space="preserve">% (wobec </w:t>
      </w:r>
      <w:r w:rsidR="00331A37">
        <w:rPr>
          <w:rFonts w:ascii="Calibri" w:hAnsi="Calibri" w:cs="Tahoma"/>
          <w:sz w:val="22"/>
          <w:szCs w:val="22"/>
        </w:rPr>
        <w:t>52</w:t>
      </w:r>
      <w:r w:rsidRPr="00662F03">
        <w:rPr>
          <w:rFonts w:ascii="Calibri" w:hAnsi="Calibri" w:cs="Tahoma"/>
          <w:sz w:val="22"/>
          <w:szCs w:val="22"/>
        </w:rPr>
        <w:t xml:space="preserve">% w </w:t>
      </w:r>
      <w:r w:rsidR="00331A37">
        <w:rPr>
          <w:rFonts w:ascii="Calibri" w:hAnsi="Calibri" w:cs="Tahoma"/>
          <w:sz w:val="22"/>
          <w:szCs w:val="22"/>
        </w:rPr>
        <w:t>2009 r.</w:t>
      </w:r>
      <w:r w:rsidRPr="00662F03">
        <w:rPr>
          <w:rFonts w:ascii="Calibri" w:hAnsi="Calibri" w:cs="Tahoma"/>
          <w:sz w:val="22"/>
          <w:szCs w:val="22"/>
        </w:rPr>
        <w:t>). W ramach dochodów własnych</w:t>
      </w:r>
      <w:r w:rsidR="00157FD0" w:rsidRPr="00662F03">
        <w:rPr>
          <w:rFonts w:ascii="Calibri" w:hAnsi="Calibri" w:cs="Tahoma"/>
          <w:sz w:val="22"/>
          <w:szCs w:val="22"/>
        </w:rPr>
        <w:t xml:space="preserve"> </w:t>
      </w:r>
      <w:r w:rsidR="00CC63BF">
        <w:rPr>
          <w:rFonts w:ascii="Calibri" w:hAnsi="Calibri" w:cs="Tahoma"/>
          <w:sz w:val="22"/>
          <w:szCs w:val="22"/>
        </w:rPr>
        <w:t xml:space="preserve">¾ </w:t>
      </w:r>
      <w:r w:rsidRPr="00662F03">
        <w:rPr>
          <w:rFonts w:ascii="Calibri" w:hAnsi="Calibri" w:cs="Tahoma"/>
          <w:sz w:val="22"/>
          <w:szCs w:val="22"/>
        </w:rPr>
        <w:t>stanowiły dochody z udziału w podatku dochodowym od osób fizycznych i prawnych.</w:t>
      </w:r>
      <w:r w:rsidR="00157FD0" w:rsidRPr="00662F03">
        <w:rPr>
          <w:rFonts w:ascii="Calibri" w:hAnsi="Calibri" w:cs="Tahoma"/>
          <w:sz w:val="22"/>
          <w:szCs w:val="22"/>
        </w:rPr>
        <w:t xml:space="preserve"> </w:t>
      </w:r>
      <w:r w:rsidR="00F73B71" w:rsidRPr="00662F03">
        <w:rPr>
          <w:rFonts w:ascii="Calibri" w:hAnsi="Calibri" w:cs="Tahoma"/>
          <w:sz w:val="22"/>
          <w:szCs w:val="22"/>
        </w:rPr>
        <w:t>Dalsze 2</w:t>
      </w:r>
      <w:r w:rsidR="00CF38B1">
        <w:rPr>
          <w:rFonts w:ascii="Calibri" w:hAnsi="Calibri" w:cs="Tahoma"/>
          <w:sz w:val="22"/>
          <w:szCs w:val="22"/>
        </w:rPr>
        <w:t>7</w:t>
      </w:r>
      <w:r w:rsidR="00157FD0" w:rsidRPr="00662F03">
        <w:rPr>
          <w:rFonts w:ascii="Calibri" w:hAnsi="Calibri" w:cs="Tahoma"/>
          <w:sz w:val="22"/>
          <w:szCs w:val="22"/>
        </w:rPr>
        <w:t>% wpływów</w:t>
      </w:r>
      <w:r w:rsidR="00670C41" w:rsidRPr="00662F03">
        <w:rPr>
          <w:rFonts w:ascii="Calibri" w:hAnsi="Calibri" w:cs="Tahoma"/>
          <w:sz w:val="22"/>
          <w:szCs w:val="22"/>
        </w:rPr>
        <w:t xml:space="preserve"> budżetu</w:t>
      </w:r>
      <w:r w:rsidR="00157FD0" w:rsidRPr="00662F03">
        <w:rPr>
          <w:rFonts w:ascii="Calibri" w:hAnsi="Calibri" w:cs="Tahoma"/>
          <w:sz w:val="22"/>
          <w:szCs w:val="22"/>
        </w:rPr>
        <w:t xml:space="preserve"> </w:t>
      </w:r>
      <w:r w:rsidR="00670C41" w:rsidRPr="00662F03">
        <w:rPr>
          <w:rFonts w:ascii="Calibri" w:hAnsi="Calibri" w:cs="Tahoma"/>
          <w:sz w:val="22"/>
          <w:szCs w:val="22"/>
        </w:rPr>
        <w:t>zapewniły</w:t>
      </w:r>
      <w:r w:rsidR="00CF38B1">
        <w:rPr>
          <w:rFonts w:ascii="Calibri" w:hAnsi="Calibri" w:cs="Tahoma"/>
          <w:sz w:val="22"/>
          <w:szCs w:val="22"/>
        </w:rPr>
        <w:t xml:space="preserve"> dotacje</w:t>
      </w:r>
      <w:r w:rsidR="00157FD0" w:rsidRPr="00662F03">
        <w:rPr>
          <w:rFonts w:ascii="Calibri" w:hAnsi="Calibri" w:cs="Tahoma"/>
          <w:sz w:val="22"/>
          <w:szCs w:val="22"/>
        </w:rPr>
        <w:t>.</w:t>
      </w:r>
      <w:r w:rsidR="008E2332" w:rsidRPr="00662F03">
        <w:rPr>
          <w:rFonts w:ascii="Calibri" w:hAnsi="Calibri" w:cs="Tahoma"/>
          <w:sz w:val="22"/>
          <w:szCs w:val="22"/>
        </w:rPr>
        <w:t xml:space="preserve"> </w:t>
      </w:r>
      <w:r w:rsidR="00670C41" w:rsidRPr="00662F03">
        <w:rPr>
          <w:rFonts w:ascii="Calibri" w:hAnsi="Calibri" w:cs="Tahoma"/>
          <w:sz w:val="22"/>
          <w:szCs w:val="22"/>
        </w:rPr>
        <w:t>Pozostałe</w:t>
      </w:r>
      <w:r w:rsidR="00157FD0" w:rsidRPr="00662F03">
        <w:rPr>
          <w:rFonts w:ascii="Calibri" w:hAnsi="Calibri" w:cs="Tahoma"/>
          <w:sz w:val="22"/>
          <w:szCs w:val="22"/>
        </w:rPr>
        <w:t xml:space="preserve"> </w:t>
      </w:r>
      <w:r w:rsidR="00F73B71" w:rsidRPr="00662F03">
        <w:rPr>
          <w:rFonts w:ascii="Calibri" w:hAnsi="Calibri" w:cs="Tahoma"/>
          <w:sz w:val="22"/>
          <w:szCs w:val="22"/>
        </w:rPr>
        <w:t>2</w:t>
      </w:r>
      <w:r w:rsidR="00CF38B1">
        <w:rPr>
          <w:rFonts w:ascii="Calibri" w:hAnsi="Calibri" w:cs="Tahoma"/>
          <w:sz w:val="22"/>
          <w:szCs w:val="22"/>
        </w:rPr>
        <w:t>4</w:t>
      </w:r>
      <w:r w:rsidR="00157FD0" w:rsidRPr="00662F03">
        <w:rPr>
          <w:rFonts w:ascii="Calibri" w:hAnsi="Calibri" w:cs="Tahoma"/>
          <w:sz w:val="22"/>
          <w:szCs w:val="22"/>
        </w:rPr>
        <w:t>% dochodów</w:t>
      </w:r>
      <w:r w:rsidR="008E2332" w:rsidRPr="00662F03">
        <w:rPr>
          <w:rFonts w:ascii="Calibri" w:hAnsi="Calibri" w:cs="Tahoma"/>
          <w:sz w:val="22"/>
          <w:szCs w:val="22"/>
        </w:rPr>
        <w:t xml:space="preserve"> </w:t>
      </w:r>
      <w:r w:rsidR="00670C41" w:rsidRPr="00662F03">
        <w:rPr>
          <w:rFonts w:ascii="Calibri" w:hAnsi="Calibri" w:cs="Tahoma"/>
          <w:sz w:val="22"/>
          <w:szCs w:val="22"/>
        </w:rPr>
        <w:t>budżetu</w:t>
      </w:r>
      <w:r w:rsidR="00157FD0" w:rsidRPr="00662F03">
        <w:rPr>
          <w:rFonts w:ascii="Calibri" w:hAnsi="Calibri" w:cs="Tahoma"/>
          <w:sz w:val="22"/>
          <w:szCs w:val="22"/>
        </w:rPr>
        <w:t xml:space="preserve"> </w:t>
      </w:r>
      <w:r w:rsidR="00670C41" w:rsidRPr="00662F03">
        <w:rPr>
          <w:rFonts w:ascii="Calibri" w:hAnsi="Calibri" w:cs="Tahoma"/>
          <w:sz w:val="22"/>
          <w:szCs w:val="22"/>
        </w:rPr>
        <w:t>stanowiła</w:t>
      </w:r>
      <w:r w:rsidR="00157FD0" w:rsidRPr="00662F03">
        <w:rPr>
          <w:rFonts w:ascii="Calibri" w:hAnsi="Calibri" w:cs="Tahoma"/>
          <w:sz w:val="22"/>
          <w:szCs w:val="22"/>
        </w:rPr>
        <w:t xml:space="preserve"> subwencja</w:t>
      </w:r>
      <w:r w:rsidR="008E2332" w:rsidRPr="00662F03">
        <w:rPr>
          <w:rFonts w:ascii="Calibri" w:hAnsi="Calibri" w:cs="Tahoma"/>
          <w:sz w:val="22"/>
          <w:szCs w:val="22"/>
        </w:rPr>
        <w:t xml:space="preserve"> </w:t>
      </w:r>
      <w:r w:rsidR="00670C41" w:rsidRPr="00662F03">
        <w:rPr>
          <w:rFonts w:ascii="Calibri" w:hAnsi="Calibri" w:cs="Tahoma"/>
          <w:sz w:val="22"/>
          <w:szCs w:val="22"/>
        </w:rPr>
        <w:t xml:space="preserve">ogólna, z której </w:t>
      </w:r>
      <w:r w:rsidR="00CF38B1">
        <w:rPr>
          <w:rFonts w:ascii="Calibri" w:hAnsi="Calibri" w:cs="Tahoma"/>
          <w:sz w:val="22"/>
          <w:szCs w:val="22"/>
        </w:rPr>
        <w:t xml:space="preserve">prawie ¾ </w:t>
      </w:r>
      <w:r w:rsidR="00670C41" w:rsidRPr="00662F03">
        <w:rPr>
          <w:rFonts w:ascii="Calibri" w:hAnsi="Calibri" w:cs="Tahoma"/>
          <w:sz w:val="22"/>
          <w:szCs w:val="22"/>
        </w:rPr>
        <w:t>przypadało</w:t>
      </w:r>
      <w:r w:rsidR="00157FD0" w:rsidRPr="00662F03">
        <w:rPr>
          <w:rFonts w:ascii="Calibri" w:hAnsi="Calibri" w:cs="Tahoma"/>
          <w:sz w:val="22"/>
          <w:szCs w:val="22"/>
        </w:rPr>
        <w:t xml:space="preserve"> na </w:t>
      </w:r>
      <w:r w:rsidR="008E2332" w:rsidRPr="00662F03">
        <w:rPr>
          <w:rFonts w:ascii="Calibri" w:hAnsi="Calibri" w:cs="Tahoma"/>
          <w:sz w:val="22"/>
          <w:szCs w:val="22"/>
        </w:rPr>
        <w:t>część oświatową</w:t>
      </w:r>
      <w:r w:rsidR="00157FD0" w:rsidRPr="00662F03">
        <w:rPr>
          <w:rFonts w:ascii="Calibri" w:hAnsi="Calibri" w:cs="Tahoma"/>
          <w:sz w:val="22"/>
          <w:szCs w:val="22"/>
        </w:rPr>
        <w:t>.</w:t>
      </w:r>
    </w:p>
    <w:p w:rsidR="00A85D6C" w:rsidRDefault="00016D2F" w:rsidP="00A85D6C">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Z ogółu wydatków budżetu Nowej Soli </w:t>
      </w:r>
      <w:r w:rsidR="00BD2419">
        <w:rPr>
          <w:rFonts w:ascii="Calibri" w:hAnsi="Calibri" w:cs="Tahoma"/>
          <w:sz w:val="22"/>
          <w:szCs w:val="22"/>
        </w:rPr>
        <w:t>64</w:t>
      </w:r>
      <w:r w:rsidRPr="00662F03">
        <w:rPr>
          <w:rFonts w:ascii="Calibri" w:hAnsi="Calibri" w:cs="Tahoma"/>
          <w:sz w:val="22"/>
          <w:szCs w:val="22"/>
        </w:rPr>
        <w:t>% (tj. 8</w:t>
      </w:r>
      <w:r w:rsidR="00BD2419">
        <w:rPr>
          <w:rFonts w:ascii="Calibri" w:hAnsi="Calibri" w:cs="Tahoma"/>
          <w:sz w:val="22"/>
          <w:szCs w:val="22"/>
        </w:rPr>
        <w:t>1,8</w:t>
      </w:r>
      <w:r w:rsidRPr="00662F03">
        <w:rPr>
          <w:rFonts w:ascii="Calibri" w:hAnsi="Calibri" w:cs="Tahoma"/>
          <w:sz w:val="22"/>
          <w:szCs w:val="22"/>
        </w:rPr>
        <w:t xml:space="preserve"> ml</w:t>
      </w:r>
      <w:r w:rsidR="00BD2419">
        <w:rPr>
          <w:rFonts w:ascii="Calibri" w:hAnsi="Calibri" w:cs="Tahoma"/>
          <w:sz w:val="22"/>
          <w:szCs w:val="22"/>
        </w:rPr>
        <w:t>n zł) stanowiły wydatki bieżące</w:t>
      </w:r>
      <w:r w:rsidRPr="00662F03">
        <w:rPr>
          <w:rFonts w:ascii="Calibri" w:hAnsi="Calibri" w:cs="Tahoma"/>
          <w:sz w:val="22"/>
          <w:szCs w:val="22"/>
        </w:rPr>
        <w:t xml:space="preserve">. Pozostałe </w:t>
      </w:r>
      <w:r w:rsidR="00BD2419">
        <w:rPr>
          <w:rFonts w:ascii="Calibri" w:hAnsi="Calibri" w:cs="Tahoma"/>
          <w:sz w:val="22"/>
          <w:szCs w:val="22"/>
        </w:rPr>
        <w:t>46,9</w:t>
      </w:r>
      <w:r w:rsidRPr="00662F03">
        <w:rPr>
          <w:rFonts w:ascii="Calibri" w:hAnsi="Calibri" w:cs="Tahoma"/>
          <w:sz w:val="22"/>
          <w:szCs w:val="22"/>
        </w:rPr>
        <w:t xml:space="preserve"> mln zł, tj. </w:t>
      </w:r>
      <w:r w:rsidR="00BD2419">
        <w:rPr>
          <w:rFonts w:ascii="Calibri" w:hAnsi="Calibri" w:cs="Tahoma"/>
          <w:sz w:val="22"/>
          <w:szCs w:val="22"/>
        </w:rPr>
        <w:t>36</w:t>
      </w:r>
      <w:r w:rsidRPr="00662F03">
        <w:rPr>
          <w:rFonts w:ascii="Calibri" w:hAnsi="Calibri" w:cs="Tahoma"/>
          <w:sz w:val="22"/>
          <w:szCs w:val="22"/>
        </w:rPr>
        <w:t xml:space="preserve">% wydatków budżetu, przeznaczono na wydatki majątkowe. </w:t>
      </w:r>
      <w:r w:rsidR="00A85D6C" w:rsidRPr="00662F03">
        <w:rPr>
          <w:rFonts w:ascii="Calibri" w:hAnsi="Calibri" w:cs="Tahoma"/>
          <w:sz w:val="22"/>
          <w:szCs w:val="22"/>
        </w:rPr>
        <w:t>W budżecie miasta największe kwoty wydatkowane są na oświatę i wychowanie (3</w:t>
      </w:r>
      <w:r w:rsidR="00A85D6C">
        <w:rPr>
          <w:rFonts w:ascii="Calibri" w:hAnsi="Calibri" w:cs="Tahoma"/>
          <w:sz w:val="22"/>
          <w:szCs w:val="22"/>
        </w:rPr>
        <w:t>0</w:t>
      </w:r>
      <w:r w:rsidR="00A85D6C" w:rsidRPr="00662F03">
        <w:rPr>
          <w:rFonts w:ascii="Calibri" w:hAnsi="Calibri" w:cs="Tahoma"/>
          <w:sz w:val="22"/>
          <w:szCs w:val="22"/>
        </w:rPr>
        <w:t>%), transport i łączność (1</w:t>
      </w:r>
      <w:r w:rsidR="00A85D6C">
        <w:rPr>
          <w:rFonts w:ascii="Calibri" w:hAnsi="Calibri" w:cs="Tahoma"/>
          <w:sz w:val="22"/>
          <w:szCs w:val="22"/>
        </w:rPr>
        <w:t>9</w:t>
      </w:r>
      <w:r w:rsidR="00A85D6C" w:rsidRPr="00662F03">
        <w:rPr>
          <w:rFonts w:ascii="Calibri" w:hAnsi="Calibri" w:cs="Tahoma"/>
          <w:sz w:val="22"/>
          <w:szCs w:val="22"/>
        </w:rPr>
        <w:t>%) oraz pomoc społeczną (1</w:t>
      </w:r>
      <w:r w:rsidR="00A85D6C">
        <w:rPr>
          <w:rFonts w:ascii="Calibri" w:hAnsi="Calibri" w:cs="Tahoma"/>
          <w:sz w:val="22"/>
          <w:szCs w:val="22"/>
        </w:rPr>
        <w:t>6</w:t>
      </w:r>
      <w:r w:rsidR="00A85D6C" w:rsidRPr="00662F03">
        <w:rPr>
          <w:rFonts w:ascii="Calibri" w:hAnsi="Calibri" w:cs="Tahoma"/>
          <w:sz w:val="22"/>
          <w:szCs w:val="22"/>
        </w:rPr>
        <w:t>%).</w:t>
      </w:r>
      <w:r w:rsidR="00A85D6C">
        <w:rPr>
          <w:rFonts w:ascii="Calibri" w:hAnsi="Calibri" w:cs="Tahoma"/>
          <w:sz w:val="22"/>
          <w:szCs w:val="22"/>
        </w:rPr>
        <w:t xml:space="preserve"> </w:t>
      </w:r>
      <w:r w:rsidR="00A85D6C" w:rsidRPr="00662F03">
        <w:rPr>
          <w:rFonts w:ascii="Calibri" w:hAnsi="Calibri" w:cs="Tahoma"/>
          <w:sz w:val="22"/>
          <w:szCs w:val="22"/>
        </w:rPr>
        <w:t xml:space="preserve">W przeliczeniu na 1 mieszkańca wydatki budżetowe wyniosły </w:t>
      </w:r>
      <w:r w:rsidR="00A85D6C">
        <w:rPr>
          <w:rFonts w:ascii="Calibri" w:hAnsi="Calibri" w:cs="Tahoma"/>
          <w:sz w:val="22"/>
          <w:szCs w:val="22"/>
        </w:rPr>
        <w:t>3228</w:t>
      </w:r>
      <w:r w:rsidR="00A85D6C" w:rsidRPr="00662F03">
        <w:rPr>
          <w:rFonts w:ascii="Calibri" w:hAnsi="Calibri" w:cs="Tahoma"/>
          <w:sz w:val="22"/>
          <w:szCs w:val="22"/>
        </w:rPr>
        <w:t xml:space="preserve"> zł, tj. </w:t>
      </w:r>
      <w:r w:rsidR="00A85D6C">
        <w:rPr>
          <w:rFonts w:ascii="Calibri" w:hAnsi="Calibri" w:cs="Tahoma"/>
          <w:sz w:val="22"/>
          <w:szCs w:val="22"/>
        </w:rPr>
        <w:t>o 500 zł więcej niż w roku poprzednim.</w:t>
      </w:r>
    </w:p>
    <w:p w:rsidR="00016D2F" w:rsidRDefault="00016D2F"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Atrakcyjność Nowej Soli podnoszą wydatki majątkowe inwestycyjne, które w 20</w:t>
      </w:r>
      <w:r w:rsidR="00BD2419">
        <w:rPr>
          <w:rFonts w:ascii="Calibri" w:hAnsi="Calibri" w:cs="Tahoma"/>
          <w:sz w:val="22"/>
          <w:szCs w:val="22"/>
        </w:rPr>
        <w:t>10</w:t>
      </w:r>
      <w:r w:rsidRPr="00662F03">
        <w:rPr>
          <w:rFonts w:ascii="Calibri" w:hAnsi="Calibri" w:cs="Tahoma"/>
          <w:sz w:val="22"/>
          <w:szCs w:val="22"/>
        </w:rPr>
        <w:t xml:space="preserve"> roku stanowiły </w:t>
      </w:r>
      <w:r w:rsidR="00BD2419">
        <w:rPr>
          <w:rFonts w:ascii="Calibri" w:hAnsi="Calibri" w:cs="Tahoma"/>
          <w:sz w:val="22"/>
          <w:szCs w:val="22"/>
        </w:rPr>
        <w:t>36</w:t>
      </w:r>
      <w:r w:rsidRPr="00662F03">
        <w:rPr>
          <w:rFonts w:ascii="Calibri" w:hAnsi="Calibri" w:cs="Tahoma"/>
          <w:sz w:val="22"/>
          <w:szCs w:val="22"/>
        </w:rPr>
        <w:t>% ogółu wydatków.</w:t>
      </w:r>
      <w:r w:rsidR="00A85D6C">
        <w:rPr>
          <w:rFonts w:ascii="Calibri" w:hAnsi="Calibri" w:cs="Tahoma"/>
          <w:sz w:val="22"/>
          <w:szCs w:val="22"/>
        </w:rPr>
        <w:t xml:space="preserve"> Na poniższym wykresie przedstawiono strukturę wydatków majątkowych inwestycyjnych.</w:t>
      </w:r>
    </w:p>
    <w:p w:rsidR="00CB18DA" w:rsidRPr="00123EB4" w:rsidRDefault="004D5193" w:rsidP="00CB18DA">
      <w:pPr>
        <w:shd w:val="clear" w:color="auto" w:fill="FFFFFF"/>
        <w:spacing w:before="150"/>
        <w:jc w:val="both"/>
        <w:outlineLvl w:val="3"/>
        <w:rPr>
          <w:rFonts w:ascii="Calibri" w:hAnsi="Calibri" w:cs="Tahoma"/>
          <w:szCs w:val="22"/>
        </w:rPr>
      </w:pPr>
      <w:r>
        <w:rPr>
          <w:rFonts w:ascii="Calibri" w:hAnsi="Calibri" w:cs="Tahoma"/>
          <w:sz w:val="22"/>
          <w:szCs w:val="22"/>
        </w:rPr>
        <w:br w:type="page"/>
      </w:r>
      <w:bookmarkStart w:id="55" w:name="_Toc315790505"/>
      <w:r w:rsidR="00CB18DA" w:rsidRPr="00CB18DA">
        <w:rPr>
          <w:rFonts w:ascii="Calibri" w:hAnsi="Calibri" w:cs="Tahoma"/>
          <w:sz w:val="20"/>
          <w:szCs w:val="22"/>
        </w:rPr>
        <w:lastRenderedPageBreak/>
        <w:t xml:space="preserve">Wykres </w:t>
      </w:r>
      <w:r w:rsidR="005433B6" w:rsidRPr="00CB18DA">
        <w:rPr>
          <w:rFonts w:ascii="Calibri" w:hAnsi="Calibri" w:cs="Tahoma"/>
          <w:sz w:val="20"/>
          <w:szCs w:val="22"/>
        </w:rPr>
        <w:fldChar w:fldCharType="begin"/>
      </w:r>
      <w:r w:rsidR="00CB18DA" w:rsidRPr="00CB18DA">
        <w:rPr>
          <w:rFonts w:ascii="Calibri" w:hAnsi="Calibri" w:cs="Tahoma"/>
          <w:sz w:val="20"/>
          <w:szCs w:val="22"/>
        </w:rPr>
        <w:instrText xml:space="preserve"> SEQ Wykres \* ARABIC </w:instrText>
      </w:r>
      <w:r w:rsidR="005433B6" w:rsidRPr="00CB18DA">
        <w:rPr>
          <w:rFonts w:ascii="Calibri" w:hAnsi="Calibri" w:cs="Tahoma"/>
          <w:sz w:val="20"/>
          <w:szCs w:val="22"/>
        </w:rPr>
        <w:fldChar w:fldCharType="separate"/>
      </w:r>
      <w:r w:rsidR="00D377D1">
        <w:rPr>
          <w:rFonts w:ascii="Calibri" w:hAnsi="Calibri" w:cs="Tahoma"/>
          <w:noProof/>
          <w:sz w:val="20"/>
          <w:szCs w:val="22"/>
        </w:rPr>
        <w:t>36</w:t>
      </w:r>
      <w:r w:rsidR="005433B6" w:rsidRPr="00CB18DA">
        <w:rPr>
          <w:rFonts w:ascii="Calibri" w:hAnsi="Calibri" w:cs="Tahoma"/>
          <w:sz w:val="20"/>
          <w:szCs w:val="22"/>
        </w:rPr>
        <w:fldChar w:fldCharType="end"/>
      </w:r>
      <w:r w:rsidR="00CB18DA" w:rsidRPr="00CB18DA">
        <w:rPr>
          <w:rFonts w:ascii="Calibri" w:hAnsi="Calibri" w:cs="Tahoma"/>
          <w:sz w:val="20"/>
          <w:szCs w:val="22"/>
        </w:rPr>
        <w:t>.</w:t>
      </w:r>
      <w:r w:rsidR="00123EB4" w:rsidRPr="00123EB4">
        <w:rPr>
          <w:bCs/>
          <w:color w:val="000000"/>
          <w:kern w:val="24"/>
          <w:sz w:val="18"/>
          <w:szCs w:val="21"/>
        </w:rPr>
        <w:t xml:space="preserve"> </w:t>
      </w:r>
      <w:r w:rsidR="00123EB4" w:rsidRPr="00123EB4">
        <w:rPr>
          <w:rFonts w:ascii="Calibri" w:hAnsi="Calibri" w:cs="Tahoma"/>
          <w:bCs/>
          <w:sz w:val="20"/>
          <w:szCs w:val="22"/>
        </w:rPr>
        <w:t>Realizacja wydatków inwestycyjnych w Nowej Soli</w:t>
      </w:r>
      <w:r w:rsidR="00123EB4" w:rsidRPr="00123EB4">
        <w:rPr>
          <w:rFonts w:ascii="Calibri" w:hAnsi="Calibri" w:cs="Tahoma"/>
          <w:sz w:val="20"/>
          <w:szCs w:val="22"/>
        </w:rPr>
        <w:t>.</w:t>
      </w:r>
      <w:bookmarkEnd w:id="55"/>
    </w:p>
    <w:p w:rsidR="00CB18DA" w:rsidRDefault="005B1628" w:rsidP="004E5A9A">
      <w:pPr>
        <w:shd w:val="clear" w:color="auto" w:fill="FFFFFF"/>
        <w:jc w:val="both"/>
        <w:outlineLvl w:val="3"/>
        <w:rPr>
          <w:rFonts w:ascii="Calibri" w:hAnsi="Calibri" w:cs="Tahoma"/>
          <w:sz w:val="22"/>
          <w:szCs w:val="22"/>
        </w:rPr>
      </w:pPr>
      <w:r>
        <w:rPr>
          <w:rFonts w:ascii="Calibri" w:hAnsi="Calibri" w:cs="Tahoma"/>
          <w:noProof/>
          <w:sz w:val="22"/>
          <w:szCs w:val="22"/>
        </w:rPr>
        <w:drawing>
          <wp:inline distT="0" distB="0" distL="0" distR="0">
            <wp:extent cx="5765036" cy="3768344"/>
            <wp:effectExtent l="19050" t="0" r="26164" b="3556"/>
            <wp:docPr id="48"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CB18DA" w:rsidRPr="00662F03" w:rsidRDefault="00CB18DA" w:rsidP="00F86A59">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Banku Danych Lokalnych, GUS.</w:t>
      </w:r>
    </w:p>
    <w:p w:rsidR="004D5193" w:rsidRDefault="00E51DBD" w:rsidP="00F86A59">
      <w:pPr>
        <w:shd w:val="clear" w:color="auto" w:fill="FFFFFF"/>
        <w:jc w:val="both"/>
        <w:outlineLvl w:val="3"/>
        <w:rPr>
          <w:rFonts w:ascii="Calibri" w:hAnsi="Calibri" w:cs="Tahoma"/>
          <w:sz w:val="22"/>
          <w:szCs w:val="22"/>
        </w:rPr>
      </w:pPr>
      <w:r>
        <w:rPr>
          <w:rFonts w:ascii="Calibri" w:hAnsi="Calibri" w:cs="Tahoma"/>
          <w:sz w:val="22"/>
          <w:szCs w:val="22"/>
        </w:rPr>
        <w:t>Dużą część wydatków stanowią wydatki inwestycyjne na budowę/przebudowę dróg gminnych i powiatowych. Wysokie wydatki na gospodarkę mieszkaniową są związane z realizacją programu rewitalizacji. Wydatki inwestycyjne na oświatę i wychowanie wzrosły w związku modernizacj</w:t>
      </w:r>
      <w:r w:rsidR="007823AD">
        <w:rPr>
          <w:rFonts w:ascii="Calibri" w:hAnsi="Calibri" w:cs="Tahoma"/>
          <w:sz w:val="22"/>
          <w:szCs w:val="22"/>
        </w:rPr>
        <w:t>ą</w:t>
      </w:r>
      <w:r>
        <w:rPr>
          <w:rFonts w:ascii="Calibri" w:hAnsi="Calibri" w:cs="Tahoma"/>
          <w:sz w:val="22"/>
          <w:szCs w:val="22"/>
        </w:rPr>
        <w:t xml:space="preserve"> infrastruktury </w:t>
      </w:r>
      <w:r w:rsidR="007823AD">
        <w:rPr>
          <w:rFonts w:ascii="Calibri" w:hAnsi="Calibri" w:cs="Tahoma"/>
          <w:sz w:val="22"/>
          <w:szCs w:val="22"/>
        </w:rPr>
        <w:t>placówek szkolnych</w:t>
      </w:r>
      <w:r>
        <w:rPr>
          <w:rFonts w:ascii="Calibri" w:hAnsi="Calibri" w:cs="Tahoma"/>
          <w:sz w:val="22"/>
          <w:szCs w:val="22"/>
        </w:rPr>
        <w:t>.</w:t>
      </w:r>
    </w:p>
    <w:p w:rsidR="00A05146" w:rsidRPr="00123EB4" w:rsidRDefault="0097472E" w:rsidP="00F86A59">
      <w:pPr>
        <w:shd w:val="clear" w:color="auto" w:fill="FFFFFF"/>
        <w:jc w:val="both"/>
        <w:outlineLvl w:val="3"/>
        <w:rPr>
          <w:rFonts w:ascii="Calibri" w:hAnsi="Calibri" w:cs="Tahoma"/>
          <w:szCs w:val="22"/>
        </w:rPr>
      </w:pPr>
      <w:bookmarkStart w:id="56" w:name="_Toc315790506"/>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37</w:t>
      </w:r>
      <w:r w:rsidR="005433B6" w:rsidRPr="00662F03">
        <w:rPr>
          <w:rFonts w:ascii="Calibri" w:hAnsi="Calibri" w:cs="Tahoma"/>
          <w:sz w:val="20"/>
          <w:szCs w:val="22"/>
        </w:rPr>
        <w:fldChar w:fldCharType="end"/>
      </w:r>
      <w:r w:rsidRPr="00123EB4">
        <w:rPr>
          <w:rFonts w:ascii="Calibri" w:hAnsi="Calibri" w:cs="Tahoma"/>
          <w:sz w:val="20"/>
          <w:szCs w:val="20"/>
        </w:rPr>
        <w:t>.</w:t>
      </w:r>
      <w:r w:rsidR="00123EB4" w:rsidRPr="00123EB4">
        <w:rPr>
          <w:bCs/>
          <w:color w:val="000000"/>
          <w:kern w:val="24"/>
          <w:sz w:val="20"/>
          <w:szCs w:val="20"/>
        </w:rPr>
        <w:t xml:space="preserve"> </w:t>
      </w:r>
      <w:r w:rsidR="00123EB4" w:rsidRPr="00123EB4">
        <w:rPr>
          <w:rFonts w:ascii="Calibri" w:hAnsi="Calibri" w:cs="Tahoma"/>
          <w:bCs/>
          <w:sz w:val="20"/>
          <w:szCs w:val="20"/>
        </w:rPr>
        <w:t>Dochody i wydatki budżetowe w Nowej Soli i wybranych miastach o porównywalnej wielkości</w:t>
      </w:r>
      <w:r w:rsidR="00123EB4" w:rsidRPr="00123EB4">
        <w:rPr>
          <w:rFonts w:ascii="Calibri" w:hAnsi="Calibri" w:cs="Tahoma"/>
          <w:sz w:val="20"/>
          <w:szCs w:val="20"/>
        </w:rPr>
        <w:t>.</w:t>
      </w:r>
      <w:bookmarkEnd w:id="56"/>
    </w:p>
    <w:p w:rsidR="00467127" w:rsidRPr="00662F03" w:rsidRDefault="005B1628" w:rsidP="004E5A9A">
      <w:pPr>
        <w:jc w:val="center"/>
        <w:rPr>
          <w:rFonts w:ascii="Calibri" w:hAnsi="Calibri"/>
          <w:noProof/>
          <w:sz w:val="22"/>
        </w:rPr>
      </w:pPr>
      <w:r>
        <w:rPr>
          <w:rFonts w:ascii="Calibri" w:hAnsi="Calibri"/>
          <w:noProof/>
          <w:sz w:val="22"/>
        </w:rPr>
        <w:drawing>
          <wp:inline distT="0" distB="0" distL="0" distR="0">
            <wp:extent cx="5226070" cy="3427345"/>
            <wp:effectExtent l="19050" t="0" r="12680" b="1655"/>
            <wp:docPr id="49"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97472E" w:rsidRPr="00662F03" w:rsidRDefault="00D40E31" w:rsidP="004E5A9A">
      <w:pPr>
        <w:shd w:val="clear" w:color="auto" w:fill="FFFFFF"/>
        <w:spacing w:after="75"/>
        <w:jc w:val="both"/>
        <w:outlineLvl w:val="3"/>
        <w:rPr>
          <w:rFonts w:ascii="Calibri" w:hAnsi="Calibri" w:cs="Tahoma"/>
          <w:sz w:val="20"/>
          <w:szCs w:val="22"/>
        </w:rPr>
      </w:pPr>
      <w:r w:rsidRPr="00662F03">
        <w:rPr>
          <w:rFonts w:ascii="Calibri" w:hAnsi="Calibri" w:cs="Tahoma"/>
          <w:sz w:val="20"/>
          <w:szCs w:val="22"/>
        </w:rPr>
        <w:t>Źródło: opracowanie własne na podstawie danych Banku Danych</w:t>
      </w:r>
      <w:r w:rsidR="00D35B03" w:rsidRPr="00662F03">
        <w:rPr>
          <w:rFonts w:ascii="Calibri" w:hAnsi="Calibri" w:cs="Tahoma"/>
          <w:sz w:val="20"/>
          <w:szCs w:val="22"/>
        </w:rPr>
        <w:t xml:space="preserve"> </w:t>
      </w:r>
      <w:r w:rsidRPr="00662F03">
        <w:rPr>
          <w:rFonts w:ascii="Calibri" w:hAnsi="Calibri" w:cs="Tahoma"/>
          <w:sz w:val="20"/>
          <w:szCs w:val="22"/>
        </w:rPr>
        <w:t>Lokalnych, GUS.</w:t>
      </w:r>
    </w:p>
    <w:p w:rsidR="00171A21" w:rsidRPr="00662F03" w:rsidRDefault="00171A21" w:rsidP="004E5A9A">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 xml:space="preserve">Dochody i wydatki na 1 mieszkańca w Nowej Soli generalnie były w latach 2003-2009 niższe niż średnie dochody i wydatki w miastach o porównywalnej wielkości. </w:t>
      </w:r>
      <w:r w:rsidR="00D35B03" w:rsidRPr="00662F03">
        <w:rPr>
          <w:rFonts w:ascii="Calibri" w:hAnsi="Calibri" w:cs="Tahoma"/>
          <w:sz w:val="22"/>
          <w:szCs w:val="22"/>
        </w:rPr>
        <w:t>W o</w:t>
      </w:r>
      <w:r w:rsidRPr="00662F03">
        <w:rPr>
          <w:rFonts w:ascii="Calibri" w:hAnsi="Calibri" w:cs="Tahoma"/>
          <w:sz w:val="22"/>
          <w:szCs w:val="22"/>
        </w:rPr>
        <w:t xml:space="preserve">koło 30% spośród </w:t>
      </w:r>
      <w:r w:rsidRPr="00662F03">
        <w:rPr>
          <w:rFonts w:ascii="Calibri" w:hAnsi="Calibri" w:cs="Tahoma"/>
          <w:sz w:val="22"/>
          <w:szCs w:val="22"/>
        </w:rPr>
        <w:lastRenderedPageBreak/>
        <w:t xml:space="preserve">analizowanych miast w 2009 r. dochody na 1 mieszkańca </w:t>
      </w:r>
      <w:r w:rsidR="00D35B03" w:rsidRPr="00662F03">
        <w:rPr>
          <w:rFonts w:ascii="Calibri" w:hAnsi="Calibri" w:cs="Tahoma"/>
          <w:sz w:val="22"/>
          <w:szCs w:val="22"/>
        </w:rPr>
        <w:t xml:space="preserve">były wyższe </w:t>
      </w:r>
      <w:r w:rsidRPr="00662F03">
        <w:rPr>
          <w:rFonts w:ascii="Calibri" w:hAnsi="Calibri" w:cs="Tahoma"/>
          <w:sz w:val="22"/>
          <w:szCs w:val="22"/>
        </w:rPr>
        <w:t xml:space="preserve">niż </w:t>
      </w:r>
      <w:r w:rsidR="00D35B03" w:rsidRPr="00662F03">
        <w:rPr>
          <w:rFonts w:ascii="Calibri" w:hAnsi="Calibri" w:cs="Tahoma"/>
          <w:sz w:val="22"/>
          <w:szCs w:val="22"/>
        </w:rPr>
        <w:t>w Nowej Soli</w:t>
      </w:r>
      <w:r w:rsidRPr="00662F03">
        <w:rPr>
          <w:rFonts w:ascii="Calibri" w:hAnsi="Calibri" w:cs="Tahoma"/>
          <w:sz w:val="22"/>
          <w:szCs w:val="22"/>
        </w:rPr>
        <w:t>, natomiast 46% miast miało wyższe wydatki na 1 mieszkańca w stosunku do Nowej Soli.</w:t>
      </w:r>
    </w:p>
    <w:p w:rsidR="001D4CE5" w:rsidRPr="00662F03" w:rsidRDefault="001D4CE5"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Stopień samodzielności finansowej odzwierciedla potencjał dochodowy jednostki oraz możliwość oddziaływania organów samorządowych na wysokość dochodów własnych, w szczególności podatków i opłat lokalnych (podatków od nieruchomości, od środków transportowych, rolnego i leśnego oraz opłat – targowej, miejscowej i administracyjnej), co do których jednostka dysponuje największym władztwem podatkowym. Stopień samodzielności finansowej wybranych miast określono jako średnią geometryczną czterech mierników samodzielności finansowej miasta</w:t>
      </w:r>
      <w:r w:rsidRPr="00662F03">
        <w:rPr>
          <w:rFonts w:ascii="Calibri" w:hAnsi="Calibri" w:cs="Tahoma"/>
          <w:sz w:val="20"/>
          <w:szCs w:val="22"/>
          <w:vertAlign w:val="superscript"/>
        </w:rPr>
        <w:footnoteReference w:id="16"/>
      </w:r>
      <w:r w:rsidRPr="00662F03">
        <w:rPr>
          <w:rFonts w:ascii="Calibri" w:hAnsi="Calibri" w:cs="Tahoma"/>
          <w:sz w:val="22"/>
          <w:szCs w:val="22"/>
        </w:rPr>
        <w:t>. Do budowy wskaźnika wykorzystano następujące mierniki:</w:t>
      </w:r>
    </w:p>
    <w:p w:rsidR="001D4CE5" w:rsidRPr="00662F03" w:rsidRDefault="001D4CE5" w:rsidP="00F71F0A">
      <w:pPr>
        <w:pStyle w:val="Akapitzlist"/>
        <w:numPr>
          <w:ilvl w:val="0"/>
          <w:numId w:val="12"/>
        </w:numPr>
        <w:shd w:val="clear" w:color="auto" w:fill="FFFFFF"/>
        <w:spacing w:before="150" w:after="75" w:line="240" w:lineRule="auto"/>
        <w:jc w:val="both"/>
        <w:outlineLvl w:val="3"/>
        <w:rPr>
          <w:rFonts w:cs="Tahoma"/>
        </w:rPr>
      </w:pPr>
      <w:r w:rsidRPr="00662F03">
        <w:rPr>
          <w:rFonts w:cs="Tahoma"/>
        </w:rPr>
        <w:t>Dochody własne w relacji do dochodów ogółem,</w:t>
      </w:r>
    </w:p>
    <w:p w:rsidR="001D4CE5" w:rsidRPr="00662F03" w:rsidRDefault="001D4CE5" w:rsidP="00F71F0A">
      <w:pPr>
        <w:pStyle w:val="Akapitzlist"/>
        <w:numPr>
          <w:ilvl w:val="0"/>
          <w:numId w:val="12"/>
        </w:numPr>
        <w:shd w:val="clear" w:color="auto" w:fill="FFFFFF"/>
        <w:spacing w:before="150" w:after="75" w:line="240" w:lineRule="auto"/>
        <w:jc w:val="both"/>
        <w:outlineLvl w:val="3"/>
        <w:rPr>
          <w:rFonts w:cs="Tahoma"/>
        </w:rPr>
      </w:pPr>
      <w:r w:rsidRPr="00662F03">
        <w:rPr>
          <w:rFonts w:cs="Tahoma"/>
        </w:rPr>
        <w:t>Dochody z podatków i opłat lokalnych w relacji do dochodów ogółem,</w:t>
      </w:r>
    </w:p>
    <w:p w:rsidR="001D4CE5" w:rsidRPr="00662F03" w:rsidRDefault="001D4CE5" w:rsidP="00F71F0A">
      <w:pPr>
        <w:pStyle w:val="Akapitzlist"/>
        <w:numPr>
          <w:ilvl w:val="0"/>
          <w:numId w:val="12"/>
        </w:numPr>
        <w:shd w:val="clear" w:color="auto" w:fill="FFFFFF"/>
        <w:spacing w:before="150" w:after="75" w:line="240" w:lineRule="auto"/>
        <w:jc w:val="both"/>
        <w:outlineLvl w:val="3"/>
        <w:rPr>
          <w:rFonts w:cs="Tahoma"/>
        </w:rPr>
      </w:pPr>
      <w:r w:rsidRPr="00662F03">
        <w:rPr>
          <w:rFonts w:cs="Tahoma"/>
        </w:rPr>
        <w:t>Dochody z podatków – od nieruchomości, od środków transportowych, rolnego i leśnego oraz opłat – targowej, miejscowej i administracyjnej w relacji do dochodów ogółem,</w:t>
      </w:r>
    </w:p>
    <w:p w:rsidR="001D4CE5" w:rsidRPr="00662F03" w:rsidRDefault="001D4CE5" w:rsidP="00F71F0A">
      <w:pPr>
        <w:pStyle w:val="Akapitzlist"/>
        <w:numPr>
          <w:ilvl w:val="0"/>
          <w:numId w:val="12"/>
        </w:numPr>
        <w:shd w:val="clear" w:color="auto" w:fill="FFFFFF"/>
        <w:spacing w:before="150" w:after="75" w:line="240" w:lineRule="auto"/>
        <w:jc w:val="both"/>
        <w:outlineLvl w:val="3"/>
        <w:rPr>
          <w:rFonts w:cs="Tahoma"/>
        </w:rPr>
      </w:pPr>
      <w:r w:rsidRPr="00662F03">
        <w:rPr>
          <w:rFonts w:cs="Tahoma"/>
        </w:rPr>
        <w:t>Wydatki inwestycyjne w relacji do wydatków ogółem.</w:t>
      </w:r>
    </w:p>
    <w:p w:rsidR="004409B9" w:rsidRPr="00123EB4" w:rsidRDefault="004409B9" w:rsidP="004E5A9A">
      <w:pPr>
        <w:shd w:val="clear" w:color="auto" w:fill="FFFFFF"/>
        <w:spacing w:before="150" w:after="75"/>
        <w:jc w:val="both"/>
        <w:outlineLvl w:val="3"/>
        <w:rPr>
          <w:rFonts w:ascii="Calibri" w:hAnsi="Calibri" w:cs="Tahoma"/>
          <w:szCs w:val="22"/>
        </w:rPr>
      </w:pPr>
      <w:bookmarkStart w:id="57" w:name="_Toc315790507"/>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38</w:t>
      </w:r>
      <w:r w:rsidR="005433B6" w:rsidRPr="00662F03">
        <w:rPr>
          <w:rFonts w:ascii="Calibri" w:hAnsi="Calibri" w:cs="Tahoma"/>
          <w:sz w:val="20"/>
          <w:szCs w:val="22"/>
        </w:rPr>
        <w:fldChar w:fldCharType="end"/>
      </w:r>
      <w:r w:rsidRPr="00662F03">
        <w:rPr>
          <w:rFonts w:ascii="Calibri" w:hAnsi="Calibri" w:cs="Tahoma"/>
          <w:sz w:val="20"/>
          <w:szCs w:val="22"/>
        </w:rPr>
        <w:t>.</w:t>
      </w:r>
      <w:r w:rsidR="00123EB4" w:rsidRPr="00123EB4">
        <w:rPr>
          <w:bCs/>
          <w:color w:val="000000"/>
          <w:kern w:val="24"/>
          <w:sz w:val="16"/>
          <w:szCs w:val="20"/>
        </w:rPr>
        <w:t xml:space="preserve"> </w:t>
      </w:r>
      <w:r w:rsidR="00123EB4" w:rsidRPr="00123EB4">
        <w:rPr>
          <w:rFonts w:ascii="Calibri" w:hAnsi="Calibri" w:cs="Tahoma"/>
          <w:bCs/>
          <w:sz w:val="20"/>
          <w:szCs w:val="22"/>
        </w:rPr>
        <w:t>Samodzielność finansowa Nowej Soli i miast porównywalnej wielkości.</w:t>
      </w:r>
      <w:bookmarkEnd w:id="57"/>
    </w:p>
    <w:p w:rsidR="00A4427C" w:rsidRPr="00662F03" w:rsidRDefault="005B1628" w:rsidP="004E5A9A">
      <w:pPr>
        <w:jc w:val="center"/>
        <w:rPr>
          <w:rFonts w:ascii="Calibri" w:hAnsi="Calibri"/>
          <w:noProof/>
          <w:sz w:val="22"/>
        </w:rPr>
      </w:pPr>
      <w:r>
        <w:rPr>
          <w:rFonts w:ascii="Calibri" w:hAnsi="Calibri"/>
          <w:noProof/>
          <w:sz w:val="22"/>
        </w:rPr>
        <w:drawing>
          <wp:inline distT="0" distB="0" distL="0" distR="0">
            <wp:extent cx="4989929" cy="3120009"/>
            <wp:effectExtent l="19050" t="0" r="20221" b="4191"/>
            <wp:docPr id="50"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1D4CE5" w:rsidRPr="00662F03" w:rsidRDefault="001D4CE5" w:rsidP="004E5A9A">
      <w:pPr>
        <w:jc w:val="both"/>
        <w:rPr>
          <w:rFonts w:ascii="Calibri" w:hAnsi="Calibri"/>
          <w:sz w:val="20"/>
          <w:szCs w:val="22"/>
        </w:rPr>
      </w:pPr>
      <w:r w:rsidRPr="00662F03">
        <w:rPr>
          <w:rFonts w:ascii="Calibri" w:hAnsi="Calibri"/>
          <w:noProof/>
          <w:sz w:val="20"/>
          <w:szCs w:val="22"/>
        </w:rPr>
        <w:t>Źródło: opracowanie własne na podstawie danych Banku DanychLokalnych, GUS.</w:t>
      </w:r>
    </w:p>
    <w:p w:rsidR="001D4CE5" w:rsidRPr="00662F03" w:rsidRDefault="001D4CE5"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Miasta o wysokim stopniu samodzielności finansowej, a więc o korzystnym potencjale dochodowym, to miasta dysponujące relatywnie wysokimi dochodami własnymi, które istotnie wpływają na jakość świadczonych przez miasta usług i wykonywanych zadań ustawowych oraz jednocześnie mają wpływ na rozmiar wydatków inwestycyjnych. Jednostki z silnym potencjałem dochodowym powinny więc być obiektem szczególnego zainteresowania potencjalnych inwestorów.</w:t>
      </w:r>
    </w:p>
    <w:p w:rsidR="00AE32DF" w:rsidRPr="00662F03" w:rsidRDefault="000F6D78"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w:t>
      </w:r>
      <w:r w:rsidR="00AE32DF" w:rsidRPr="00662F03">
        <w:rPr>
          <w:rFonts w:ascii="Calibri" w:hAnsi="Calibri" w:cs="Tahoma"/>
          <w:sz w:val="22"/>
          <w:szCs w:val="22"/>
        </w:rPr>
        <w:t xml:space="preserve">rojekcja </w:t>
      </w:r>
      <w:r w:rsidR="009C7F5F" w:rsidRPr="00662F03">
        <w:rPr>
          <w:rFonts w:ascii="Calibri" w:hAnsi="Calibri" w:cs="Tahoma"/>
          <w:sz w:val="22"/>
          <w:szCs w:val="22"/>
        </w:rPr>
        <w:t>nadwyżki</w:t>
      </w:r>
      <w:r w:rsidR="00AE32DF" w:rsidRPr="00662F03">
        <w:rPr>
          <w:rFonts w:ascii="Calibri" w:hAnsi="Calibri" w:cs="Tahoma"/>
          <w:sz w:val="22"/>
          <w:szCs w:val="22"/>
        </w:rPr>
        <w:t xml:space="preserve"> operacyjnej</w:t>
      </w:r>
      <w:r w:rsidR="0042353D" w:rsidRPr="00662F03">
        <w:rPr>
          <w:rFonts w:ascii="Calibri" w:hAnsi="Calibri" w:cs="Tahoma"/>
          <w:sz w:val="20"/>
          <w:vertAlign w:val="superscript"/>
        </w:rPr>
        <w:footnoteReference w:id="17"/>
      </w:r>
      <w:r w:rsidR="00AE32DF" w:rsidRPr="00662F03">
        <w:rPr>
          <w:rFonts w:ascii="Calibri" w:hAnsi="Calibri" w:cs="Tahoma"/>
          <w:sz w:val="18"/>
          <w:szCs w:val="22"/>
          <w:vertAlign w:val="superscript"/>
        </w:rPr>
        <w:t xml:space="preserve"> </w:t>
      </w:r>
      <w:r w:rsidR="00AE32DF" w:rsidRPr="00662F03">
        <w:rPr>
          <w:rFonts w:ascii="Calibri" w:hAnsi="Calibri" w:cs="Tahoma"/>
          <w:sz w:val="22"/>
          <w:szCs w:val="22"/>
        </w:rPr>
        <w:t xml:space="preserve">– </w:t>
      </w:r>
      <w:r w:rsidR="009C7F5F" w:rsidRPr="00662F03">
        <w:rPr>
          <w:rFonts w:ascii="Calibri" w:hAnsi="Calibri" w:cs="Tahoma"/>
          <w:sz w:val="22"/>
          <w:szCs w:val="22"/>
        </w:rPr>
        <w:t>nadwyżka</w:t>
      </w:r>
      <w:r w:rsidR="00AE32DF" w:rsidRPr="00662F03">
        <w:rPr>
          <w:rFonts w:ascii="Calibri" w:hAnsi="Calibri" w:cs="Tahoma"/>
          <w:sz w:val="22"/>
          <w:szCs w:val="22"/>
        </w:rPr>
        <w:t xml:space="preserve"> operacyjna stanowi </w:t>
      </w:r>
      <w:r w:rsidR="009C7F5F" w:rsidRPr="00662F03">
        <w:rPr>
          <w:rFonts w:ascii="Calibri" w:hAnsi="Calibri" w:cs="Tahoma"/>
          <w:sz w:val="22"/>
          <w:szCs w:val="22"/>
        </w:rPr>
        <w:t>różnicę</w:t>
      </w:r>
      <w:r w:rsidR="00AE32DF" w:rsidRPr="00662F03">
        <w:rPr>
          <w:rFonts w:ascii="Calibri" w:hAnsi="Calibri" w:cs="Tahoma"/>
          <w:sz w:val="22"/>
          <w:szCs w:val="22"/>
        </w:rPr>
        <w:t xml:space="preserve"> mię</w:t>
      </w:r>
      <w:r w:rsidR="009C7F5F" w:rsidRPr="00662F03">
        <w:rPr>
          <w:rFonts w:ascii="Calibri" w:hAnsi="Calibri" w:cs="Tahoma"/>
          <w:sz w:val="22"/>
          <w:szCs w:val="22"/>
        </w:rPr>
        <w:t xml:space="preserve">dzy </w:t>
      </w:r>
      <w:r w:rsidR="00AE32DF" w:rsidRPr="00662F03">
        <w:rPr>
          <w:rFonts w:ascii="Calibri" w:hAnsi="Calibri" w:cs="Tahoma"/>
          <w:sz w:val="22"/>
          <w:szCs w:val="22"/>
        </w:rPr>
        <w:t xml:space="preserve">dochodami a wydatkami </w:t>
      </w:r>
      <w:r w:rsidR="009C7F5F" w:rsidRPr="00662F03">
        <w:rPr>
          <w:rFonts w:ascii="Calibri" w:hAnsi="Calibri" w:cs="Tahoma"/>
          <w:sz w:val="22"/>
          <w:szCs w:val="22"/>
        </w:rPr>
        <w:t>bieżącymi</w:t>
      </w:r>
      <w:r w:rsidR="00AE32DF" w:rsidRPr="00662F03">
        <w:rPr>
          <w:rFonts w:ascii="Calibri" w:hAnsi="Calibri" w:cs="Tahoma"/>
          <w:sz w:val="22"/>
          <w:szCs w:val="22"/>
        </w:rPr>
        <w:t xml:space="preserve">; wysokość tej kwoty wskazuje na zdolność </w:t>
      </w:r>
      <w:r w:rsidR="009C7F5F" w:rsidRPr="00662F03">
        <w:rPr>
          <w:rFonts w:ascii="Calibri" w:hAnsi="Calibri" w:cs="Tahoma"/>
          <w:sz w:val="22"/>
          <w:szCs w:val="22"/>
        </w:rPr>
        <w:t xml:space="preserve">jednostki do </w:t>
      </w:r>
      <w:r w:rsidR="00AE32DF" w:rsidRPr="00662F03">
        <w:rPr>
          <w:rFonts w:ascii="Calibri" w:hAnsi="Calibri" w:cs="Tahoma"/>
          <w:sz w:val="22"/>
          <w:szCs w:val="22"/>
        </w:rPr>
        <w:t xml:space="preserve">samodzielnego regulowania zobowiązań z tytułu zaciągniętych kredytów i </w:t>
      </w:r>
      <w:r w:rsidR="009C7F5F" w:rsidRPr="00662F03">
        <w:rPr>
          <w:rFonts w:ascii="Calibri" w:hAnsi="Calibri" w:cs="Tahoma"/>
          <w:sz w:val="22"/>
          <w:szCs w:val="22"/>
        </w:rPr>
        <w:t xml:space="preserve">pożyczek oraz </w:t>
      </w:r>
      <w:r w:rsidRPr="00662F03">
        <w:rPr>
          <w:rFonts w:ascii="Calibri" w:hAnsi="Calibri" w:cs="Tahoma"/>
          <w:sz w:val="22"/>
          <w:szCs w:val="22"/>
        </w:rPr>
        <w:t>finansowania inwestycji.</w:t>
      </w:r>
    </w:p>
    <w:p w:rsidR="0074250E" w:rsidRPr="00662F03" w:rsidRDefault="00936B2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Na wykresie</w:t>
      </w:r>
      <w:r w:rsidR="0074250E" w:rsidRPr="00662F03">
        <w:rPr>
          <w:rFonts w:ascii="Calibri" w:hAnsi="Calibri" w:cs="Tahoma"/>
          <w:sz w:val="22"/>
          <w:szCs w:val="22"/>
        </w:rPr>
        <w:t xml:space="preserve"> poniżej przedstawiono projekcję nadwyżki operacyjnej Miasta Nowa Sól na lata 2011-2021. Prognozę kształtowania się nadwyżki operacyjnej sporządzono w oparciu o następujące dane i założenia:</w:t>
      </w:r>
    </w:p>
    <w:p w:rsidR="0074250E" w:rsidRPr="00662F03" w:rsidRDefault="0074250E" w:rsidP="00A85D6C">
      <w:pPr>
        <w:pStyle w:val="Akapitzlist"/>
        <w:numPr>
          <w:ilvl w:val="0"/>
          <w:numId w:val="13"/>
        </w:numPr>
        <w:shd w:val="clear" w:color="auto" w:fill="FFFFFF"/>
        <w:spacing w:after="0"/>
        <w:jc w:val="both"/>
        <w:outlineLvl w:val="3"/>
        <w:rPr>
          <w:rFonts w:cs="Tahoma"/>
        </w:rPr>
      </w:pPr>
      <w:r w:rsidRPr="00662F03">
        <w:rPr>
          <w:rFonts w:cs="Tahoma"/>
        </w:rPr>
        <w:t>dochody ogółem:</w:t>
      </w:r>
    </w:p>
    <w:p w:rsidR="0074250E" w:rsidRPr="00662F03" w:rsidRDefault="00936B21" w:rsidP="00A85D6C">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xml:space="preserve">- </w:t>
      </w:r>
      <w:r w:rsidR="0074250E" w:rsidRPr="00662F03">
        <w:rPr>
          <w:rFonts w:ascii="Calibri" w:hAnsi="Calibri" w:cs="Tahoma"/>
          <w:sz w:val="22"/>
          <w:szCs w:val="22"/>
        </w:rPr>
        <w:t>na rok 2011 – przyjęto zgodnie z uchwałą budżetową,</w:t>
      </w:r>
    </w:p>
    <w:p w:rsidR="0074250E" w:rsidRPr="00662F03" w:rsidRDefault="00936B21" w:rsidP="00A85D6C">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xml:space="preserve">- </w:t>
      </w:r>
      <w:r w:rsidR="0074250E" w:rsidRPr="00662F03">
        <w:rPr>
          <w:rFonts w:ascii="Calibri" w:hAnsi="Calibri" w:cs="Tahoma"/>
          <w:sz w:val="22"/>
          <w:szCs w:val="22"/>
        </w:rPr>
        <w:t>na lata 201</w:t>
      </w:r>
      <w:r w:rsidR="00104F1F" w:rsidRPr="00662F03">
        <w:rPr>
          <w:rFonts w:ascii="Calibri" w:hAnsi="Calibri" w:cs="Tahoma"/>
          <w:sz w:val="22"/>
          <w:szCs w:val="22"/>
        </w:rPr>
        <w:t>2</w:t>
      </w:r>
      <w:r w:rsidR="0074250E" w:rsidRPr="00662F03">
        <w:rPr>
          <w:rFonts w:ascii="Calibri" w:hAnsi="Calibri" w:cs="Tahoma"/>
          <w:sz w:val="22"/>
          <w:szCs w:val="22"/>
        </w:rPr>
        <w:t>-2021 – przyjęto zgodnie z prognozą długu przedstawioną przez samorząd.</w:t>
      </w:r>
    </w:p>
    <w:p w:rsidR="00936B21" w:rsidRPr="00662F03" w:rsidRDefault="00936B21" w:rsidP="00A85D6C">
      <w:pPr>
        <w:pStyle w:val="Akapitzlist"/>
        <w:numPr>
          <w:ilvl w:val="0"/>
          <w:numId w:val="13"/>
        </w:numPr>
        <w:shd w:val="clear" w:color="auto" w:fill="FFFFFF"/>
        <w:spacing w:after="0"/>
        <w:jc w:val="both"/>
        <w:outlineLvl w:val="3"/>
        <w:rPr>
          <w:rFonts w:cs="Tahoma"/>
        </w:rPr>
      </w:pPr>
      <w:r w:rsidRPr="00662F03">
        <w:rPr>
          <w:rFonts w:cs="Tahoma"/>
        </w:rPr>
        <w:t>wydatki bieżące:</w:t>
      </w:r>
    </w:p>
    <w:p w:rsidR="00936B21" w:rsidRPr="00662F03" w:rsidRDefault="00936B21" w:rsidP="00A85D6C">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na rok 2011 – przyjęto zgodnie z uchwałą budżetową,</w:t>
      </w:r>
    </w:p>
    <w:p w:rsidR="0074250E" w:rsidRPr="00662F03" w:rsidRDefault="00936B21" w:rsidP="00A85D6C">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na lata 201</w:t>
      </w:r>
      <w:r w:rsidR="00104F1F" w:rsidRPr="00662F03">
        <w:rPr>
          <w:rFonts w:ascii="Calibri" w:hAnsi="Calibri" w:cs="Tahoma"/>
          <w:sz w:val="22"/>
          <w:szCs w:val="22"/>
        </w:rPr>
        <w:t>2</w:t>
      </w:r>
      <w:r w:rsidRPr="00662F03">
        <w:rPr>
          <w:rFonts w:ascii="Calibri" w:hAnsi="Calibri" w:cs="Tahoma"/>
          <w:sz w:val="22"/>
          <w:szCs w:val="22"/>
        </w:rPr>
        <w:t>-2021 – przyjęto na poziomie 7</w:t>
      </w:r>
      <w:r w:rsidR="00512F3B" w:rsidRPr="00662F03">
        <w:rPr>
          <w:rFonts w:ascii="Calibri" w:hAnsi="Calibri" w:cs="Tahoma"/>
          <w:sz w:val="22"/>
          <w:szCs w:val="22"/>
        </w:rPr>
        <w:t>8</w:t>
      </w:r>
      <w:r w:rsidRPr="00662F03">
        <w:rPr>
          <w:rFonts w:ascii="Calibri" w:hAnsi="Calibri" w:cs="Tahoma"/>
          <w:sz w:val="22"/>
          <w:szCs w:val="22"/>
        </w:rPr>
        <w:t>% planowanych dochodów budżetowych, tj. zgodnie z tendencją zaobserwowaną w latach 200</w:t>
      </w:r>
      <w:r w:rsidR="00512F3B" w:rsidRPr="00662F03">
        <w:rPr>
          <w:rFonts w:ascii="Calibri" w:hAnsi="Calibri" w:cs="Tahoma"/>
          <w:sz w:val="22"/>
          <w:szCs w:val="22"/>
        </w:rPr>
        <w:t>8</w:t>
      </w:r>
      <w:r w:rsidR="000F6D78" w:rsidRPr="00662F03">
        <w:rPr>
          <w:rFonts w:ascii="Calibri" w:hAnsi="Calibri" w:cs="Tahoma"/>
          <w:sz w:val="22"/>
          <w:szCs w:val="22"/>
        </w:rPr>
        <w:t>-</w:t>
      </w:r>
      <w:r w:rsidRPr="00662F03">
        <w:rPr>
          <w:rFonts w:ascii="Calibri" w:hAnsi="Calibri" w:cs="Tahoma"/>
          <w:sz w:val="22"/>
          <w:szCs w:val="22"/>
        </w:rPr>
        <w:t>20</w:t>
      </w:r>
      <w:r w:rsidR="00512F3B" w:rsidRPr="00662F03">
        <w:rPr>
          <w:rFonts w:ascii="Calibri" w:hAnsi="Calibri" w:cs="Tahoma"/>
          <w:sz w:val="22"/>
          <w:szCs w:val="22"/>
        </w:rPr>
        <w:t>10</w:t>
      </w:r>
      <w:r w:rsidRPr="00662F03">
        <w:rPr>
          <w:rFonts w:ascii="Calibri" w:hAnsi="Calibri" w:cs="Tahoma"/>
          <w:sz w:val="22"/>
          <w:szCs w:val="22"/>
        </w:rPr>
        <w:t xml:space="preserve"> (średnia arytmetyczna)</w:t>
      </w:r>
      <w:r w:rsidR="00123EB4">
        <w:rPr>
          <w:rFonts w:ascii="Calibri" w:hAnsi="Calibri" w:cs="Tahoma"/>
          <w:sz w:val="22"/>
          <w:szCs w:val="22"/>
        </w:rPr>
        <w:t>.</w:t>
      </w:r>
    </w:p>
    <w:p w:rsidR="004409B9" w:rsidRPr="00123EB4" w:rsidRDefault="004409B9" w:rsidP="00E6789D">
      <w:pPr>
        <w:shd w:val="clear" w:color="auto" w:fill="FFFFFF"/>
        <w:jc w:val="both"/>
        <w:outlineLvl w:val="3"/>
        <w:rPr>
          <w:rFonts w:ascii="Calibri" w:hAnsi="Calibri" w:cs="Tahoma"/>
          <w:szCs w:val="22"/>
        </w:rPr>
      </w:pPr>
      <w:bookmarkStart w:id="58" w:name="_Toc315790508"/>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39</w:t>
      </w:r>
      <w:r w:rsidR="005433B6" w:rsidRPr="00662F03">
        <w:rPr>
          <w:rFonts w:ascii="Calibri" w:hAnsi="Calibri" w:cs="Tahoma"/>
          <w:sz w:val="20"/>
          <w:szCs w:val="22"/>
        </w:rPr>
        <w:fldChar w:fldCharType="end"/>
      </w:r>
      <w:r w:rsidRPr="00662F03">
        <w:rPr>
          <w:rFonts w:ascii="Calibri" w:hAnsi="Calibri" w:cs="Tahoma"/>
          <w:sz w:val="20"/>
          <w:szCs w:val="22"/>
        </w:rPr>
        <w:t>.</w:t>
      </w:r>
      <w:r w:rsidR="00123EB4" w:rsidRPr="00123EB4">
        <w:rPr>
          <w:b/>
          <w:bCs/>
          <w:color w:val="000000"/>
          <w:kern w:val="24"/>
          <w:sz w:val="20"/>
          <w:szCs w:val="20"/>
        </w:rPr>
        <w:t xml:space="preserve"> </w:t>
      </w:r>
      <w:r w:rsidR="00123EB4" w:rsidRPr="00123EB4">
        <w:rPr>
          <w:rFonts w:ascii="Calibri" w:hAnsi="Calibri" w:cs="Tahoma"/>
          <w:bCs/>
          <w:sz w:val="20"/>
          <w:szCs w:val="22"/>
        </w:rPr>
        <w:t>Projekcja nadwyżki operacyjnej</w:t>
      </w:r>
      <w:r w:rsidR="00123EB4" w:rsidRPr="00123EB4">
        <w:rPr>
          <w:rFonts w:ascii="Calibri" w:hAnsi="Calibri" w:cs="Tahoma"/>
          <w:sz w:val="20"/>
          <w:szCs w:val="22"/>
        </w:rPr>
        <w:t>.</w:t>
      </w:r>
      <w:bookmarkEnd w:id="58"/>
    </w:p>
    <w:p w:rsidR="0074250E" w:rsidRPr="00662F03" w:rsidRDefault="005B1628" w:rsidP="004E5A9A">
      <w:pPr>
        <w:autoSpaceDE w:val="0"/>
        <w:autoSpaceDN w:val="0"/>
        <w:adjustRightInd w:val="0"/>
        <w:jc w:val="center"/>
        <w:rPr>
          <w:rFonts w:ascii="Calibri" w:hAnsi="Calibri" w:cs="Arial"/>
          <w:sz w:val="22"/>
          <w:szCs w:val="22"/>
        </w:rPr>
      </w:pPr>
      <w:r>
        <w:rPr>
          <w:rFonts w:ascii="Calibri" w:hAnsi="Calibri" w:cs="Arial"/>
          <w:noProof/>
          <w:sz w:val="22"/>
          <w:szCs w:val="22"/>
        </w:rPr>
        <w:drawing>
          <wp:inline distT="0" distB="0" distL="0" distR="0">
            <wp:extent cx="5095381" cy="3183509"/>
            <wp:effectExtent l="19050" t="0" r="10019" b="0"/>
            <wp:docPr id="51"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409B9" w:rsidRPr="00662F03" w:rsidRDefault="004409B9" w:rsidP="007D559F">
      <w:pPr>
        <w:shd w:val="clear" w:color="auto" w:fill="FFFFFF"/>
        <w:spacing w:after="240"/>
        <w:jc w:val="both"/>
        <w:outlineLvl w:val="3"/>
        <w:rPr>
          <w:rFonts w:ascii="Calibri" w:hAnsi="Calibri" w:cs="Tahoma"/>
          <w:sz w:val="20"/>
          <w:szCs w:val="22"/>
        </w:rPr>
      </w:pPr>
      <w:r w:rsidRPr="00662F03">
        <w:rPr>
          <w:rFonts w:ascii="Calibri" w:hAnsi="Calibri" w:cs="Tahoma"/>
          <w:sz w:val="20"/>
          <w:szCs w:val="22"/>
        </w:rPr>
        <w:t>Źródło: opracowanie własne na podstawie danych Urzędu Miejskiego w Nowej Soli, BIP.</w:t>
      </w:r>
    </w:p>
    <w:p w:rsidR="000B6B05" w:rsidRPr="00662F03" w:rsidRDefault="000B6B05" w:rsidP="007D559F">
      <w:pPr>
        <w:shd w:val="clear" w:color="auto" w:fill="FFFFFF"/>
        <w:jc w:val="both"/>
        <w:outlineLvl w:val="3"/>
        <w:rPr>
          <w:rFonts w:ascii="Calibri" w:hAnsi="Calibri" w:cs="Tahoma"/>
          <w:sz w:val="22"/>
          <w:szCs w:val="22"/>
        </w:rPr>
      </w:pPr>
      <w:r w:rsidRPr="00662F03">
        <w:rPr>
          <w:rFonts w:ascii="Calibri" w:hAnsi="Calibri" w:cs="Tahoma"/>
          <w:sz w:val="22"/>
          <w:szCs w:val="22"/>
        </w:rPr>
        <w:t>Oceniając uzyskane wyniki można stwierdzić, że samorząd posiada znaczny potencjał finansowy jaki może przeznaczyć z własnych środków budżetowych na inwestycje i spłatę zobowiązań. I tak potencjał ten kształtuje się następująco:</w:t>
      </w:r>
    </w:p>
    <w:p w:rsidR="000B6B05" w:rsidRPr="00662F03" w:rsidRDefault="000B6B05" w:rsidP="00A85D6C">
      <w:pPr>
        <w:shd w:val="clear" w:color="auto" w:fill="FFFFFF"/>
        <w:jc w:val="both"/>
        <w:outlineLvl w:val="3"/>
        <w:rPr>
          <w:rFonts w:ascii="Calibri" w:hAnsi="Calibri" w:cs="Tahoma"/>
          <w:sz w:val="22"/>
          <w:szCs w:val="22"/>
        </w:rPr>
      </w:pPr>
      <w:r w:rsidRPr="00662F03">
        <w:rPr>
          <w:rFonts w:ascii="Calibri" w:hAnsi="Calibri" w:cs="Tahoma"/>
          <w:sz w:val="22"/>
          <w:szCs w:val="22"/>
        </w:rPr>
        <w:t>- w 2011 r. – 49 mln zł,</w:t>
      </w:r>
    </w:p>
    <w:p w:rsidR="000B6B05" w:rsidRPr="00662F03" w:rsidRDefault="000B6B05" w:rsidP="00A85D6C">
      <w:pPr>
        <w:shd w:val="clear" w:color="auto" w:fill="FFFFFF"/>
        <w:jc w:val="both"/>
        <w:outlineLvl w:val="3"/>
        <w:rPr>
          <w:rFonts w:ascii="Calibri" w:hAnsi="Calibri" w:cs="Tahoma"/>
          <w:sz w:val="22"/>
          <w:szCs w:val="22"/>
        </w:rPr>
      </w:pPr>
      <w:r w:rsidRPr="00662F03">
        <w:rPr>
          <w:rFonts w:ascii="Calibri" w:hAnsi="Calibri" w:cs="Tahoma"/>
          <w:sz w:val="22"/>
          <w:szCs w:val="22"/>
        </w:rPr>
        <w:t>- w latach 2012–2021 – mieści się w przedziale od 24 do 22 mln.</w:t>
      </w:r>
    </w:p>
    <w:p w:rsidR="004170B7" w:rsidRPr="00662F03" w:rsidRDefault="000B6B05"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Powyższy wykres obrazuje graficznie projekcję nadwyżki operacyjnej; mieści się ona w obszarze między liniami oznaczającymi dochody ogółem i wydatki bieżące (zielone linie).</w:t>
      </w:r>
    </w:p>
    <w:p w:rsidR="00225D4F" w:rsidRDefault="005433B6"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43" style="width:449.8pt;height:110.35pt;rotation:-360;mso-position-horizontal-relative:char;mso-position-vertical-relative:line" o:allowincell="f" fillcolor="#a7bfde" stroked="f">
            <v:fill opacity="13107f"/>
            <v:imagedata embosscolor="shadow add(51)"/>
            <v:shadow on="t" color="#d4cfb3" opacity=".5" offset="19pt,-21pt" offset2="26pt,-30pt"/>
            <v:textbox style="mso-next-textbox:#_x0000_s1043;mso-fit-shape-to-text:t" inset="28.8pt,7.2pt,14.4pt,28.8pt">
              <w:txbxContent>
                <w:p w:rsidR="00D24064" w:rsidRPr="00EC0E96" w:rsidRDefault="00D24064" w:rsidP="00295383">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Default="00D24064" w:rsidP="00746216">
                  <w:pPr>
                    <w:jc w:val="both"/>
                    <w:rPr>
                      <w:rFonts w:asciiTheme="minorHAnsi" w:hAnsiTheme="minorHAnsi"/>
                      <w:i/>
                      <w:iCs/>
                      <w:color w:val="1F497D"/>
                      <w:sz w:val="22"/>
                      <w:szCs w:val="28"/>
                    </w:rPr>
                  </w:pPr>
                  <w:r w:rsidRPr="00EC0E96">
                    <w:rPr>
                      <w:rFonts w:ascii="Calibri" w:hAnsi="Calibri"/>
                      <w:i/>
                      <w:iCs/>
                      <w:color w:val="1F497D"/>
                      <w:sz w:val="22"/>
                      <w:szCs w:val="28"/>
                    </w:rPr>
                    <w:t>Wzrost dochodów i wydatków budżetu miasta w ostatni</w:t>
                  </w:r>
                  <w:r>
                    <w:rPr>
                      <w:rFonts w:ascii="Calibri" w:hAnsi="Calibri"/>
                      <w:i/>
                      <w:iCs/>
                      <w:color w:val="1F497D"/>
                      <w:sz w:val="22"/>
                      <w:szCs w:val="28"/>
                    </w:rPr>
                    <w:t xml:space="preserve">ch latach jest zagrożony przez: </w:t>
                  </w:r>
                  <w:r w:rsidRPr="00746216">
                    <w:rPr>
                      <w:rFonts w:asciiTheme="minorHAnsi" w:hAnsiTheme="minorHAnsi"/>
                      <w:i/>
                      <w:iCs/>
                      <w:color w:val="1F497D"/>
                      <w:sz w:val="22"/>
                      <w:szCs w:val="28"/>
                    </w:rPr>
                    <w:t>zmianę progów podatkowych wprowadzonych nowelizacją ustawy o podatku dochodowym oraz skutki kryzysu finansowego i gospodarczego.</w:t>
                  </w:r>
                </w:p>
                <w:p w:rsidR="00D24064" w:rsidRDefault="00D24064" w:rsidP="00746216">
                  <w:pPr>
                    <w:jc w:val="both"/>
                    <w:rPr>
                      <w:rFonts w:asciiTheme="minorHAnsi" w:hAnsiTheme="minorHAnsi"/>
                      <w:i/>
                      <w:iCs/>
                      <w:color w:val="1F497D"/>
                      <w:sz w:val="22"/>
                      <w:szCs w:val="28"/>
                    </w:rPr>
                  </w:pPr>
                  <w:r>
                    <w:rPr>
                      <w:rFonts w:asciiTheme="minorHAnsi" w:hAnsiTheme="minorHAnsi"/>
                      <w:i/>
                      <w:iCs/>
                      <w:color w:val="1F497D"/>
                      <w:sz w:val="22"/>
                      <w:szCs w:val="28"/>
                    </w:rPr>
                    <w:t>W ostatnich dwóch latach znacznie wzrosły wydatki majątkowe inwestycyjne.</w:t>
                  </w:r>
                </w:p>
                <w:p w:rsidR="00D24064" w:rsidRPr="00746216" w:rsidRDefault="00D24064" w:rsidP="00746216">
                  <w:pPr>
                    <w:jc w:val="both"/>
                    <w:rPr>
                      <w:rFonts w:ascii="Calibri" w:hAnsi="Calibri"/>
                      <w:i/>
                      <w:iCs/>
                      <w:color w:val="1F497D"/>
                      <w:sz w:val="22"/>
                      <w:szCs w:val="28"/>
                    </w:rPr>
                  </w:pPr>
                  <w:r>
                    <w:rPr>
                      <w:rFonts w:asciiTheme="minorHAnsi" w:hAnsiTheme="minorHAnsi"/>
                      <w:i/>
                      <w:iCs/>
                      <w:color w:val="1F497D"/>
                      <w:sz w:val="22"/>
                      <w:szCs w:val="28"/>
                    </w:rPr>
                    <w:t>Stopień samodzielności finansowej w porównaniu do innych miast o podobnej wielkości nie jest wysoki.</w:t>
                  </w:r>
                </w:p>
              </w:txbxContent>
            </v:textbox>
            <w10:wrap type="none" anchorx="margin" anchory="page"/>
            <w10:anchorlock/>
          </v:rect>
        </w:pict>
      </w:r>
    </w:p>
    <w:p w:rsidR="003451FE" w:rsidRPr="00662F03" w:rsidRDefault="004D5193" w:rsidP="007F5FC1">
      <w:pPr>
        <w:pStyle w:val="Nagwek2"/>
        <w:numPr>
          <w:ilvl w:val="1"/>
          <w:numId w:val="1"/>
        </w:numPr>
        <w:spacing w:line="240" w:lineRule="auto"/>
        <w:rPr>
          <w:rFonts w:ascii="Calibri" w:hAnsi="Calibri"/>
          <w:color w:val="17365D"/>
          <w:sz w:val="22"/>
          <w:szCs w:val="22"/>
        </w:rPr>
      </w:pPr>
      <w:r>
        <w:rPr>
          <w:rFonts w:ascii="Calibri" w:hAnsi="Calibri" w:cs="Tahoma"/>
          <w:b w:val="0"/>
          <w:bCs w:val="0"/>
          <w:i w:val="0"/>
          <w:iCs w:val="0"/>
          <w:sz w:val="22"/>
          <w:szCs w:val="22"/>
        </w:rPr>
        <w:br w:type="page"/>
      </w:r>
      <w:bookmarkStart w:id="59" w:name="_Toc316395261"/>
      <w:r w:rsidR="00BC2A1E" w:rsidRPr="00662F03">
        <w:rPr>
          <w:rFonts w:ascii="Calibri" w:hAnsi="Calibri"/>
          <w:color w:val="17365D"/>
          <w:sz w:val="22"/>
          <w:szCs w:val="22"/>
        </w:rPr>
        <w:lastRenderedPageBreak/>
        <w:t>Podmioty gospodarcze</w:t>
      </w:r>
      <w:bookmarkEnd w:id="59"/>
    </w:p>
    <w:p w:rsidR="006D7B09" w:rsidRPr="00662F03" w:rsidRDefault="006D7B09" w:rsidP="006D7B09">
      <w:pPr>
        <w:shd w:val="clear" w:color="auto" w:fill="FFFFFF"/>
        <w:spacing w:before="150" w:after="75"/>
        <w:jc w:val="both"/>
        <w:outlineLvl w:val="3"/>
        <w:rPr>
          <w:rFonts w:ascii="Calibri" w:hAnsi="Calibri" w:cs="Tahoma"/>
          <w:b/>
          <w:i/>
          <w:color w:val="365F91"/>
          <w:sz w:val="22"/>
          <w:szCs w:val="22"/>
        </w:rPr>
      </w:pPr>
      <w:r w:rsidRPr="00662F03">
        <w:rPr>
          <w:rFonts w:ascii="Calibri" w:hAnsi="Calibri" w:cs="Tahoma"/>
          <w:b/>
          <w:i/>
          <w:color w:val="365F91"/>
          <w:sz w:val="22"/>
          <w:szCs w:val="22"/>
        </w:rPr>
        <w:t>Struktura gospodarcza</w:t>
      </w:r>
    </w:p>
    <w:p w:rsidR="00B3352A" w:rsidRPr="00662F03" w:rsidRDefault="006D7B09" w:rsidP="006D7B09">
      <w:pPr>
        <w:shd w:val="clear" w:color="auto" w:fill="FFFFFF"/>
        <w:spacing w:after="75"/>
        <w:jc w:val="both"/>
        <w:outlineLvl w:val="3"/>
        <w:rPr>
          <w:rFonts w:ascii="Calibri" w:hAnsi="Calibri" w:cs="Tahoma"/>
          <w:sz w:val="22"/>
          <w:szCs w:val="22"/>
          <w:highlight w:val="yellow"/>
        </w:rPr>
      </w:pPr>
      <w:r w:rsidRPr="00662F03">
        <w:rPr>
          <w:rFonts w:ascii="Calibri" w:hAnsi="Calibri" w:cs="Tahoma"/>
          <w:sz w:val="22"/>
          <w:szCs w:val="22"/>
        </w:rPr>
        <w:t xml:space="preserve">Gospodarkę miasta Nowa Sól cechuje zróżnicowanie branżowe z niewielką dominacją sektora usługowo-handlowego. </w:t>
      </w:r>
      <w:r w:rsidR="00B3352A" w:rsidRPr="00662F03">
        <w:rPr>
          <w:rFonts w:ascii="Calibri" w:hAnsi="Calibri" w:cs="Tahoma"/>
          <w:sz w:val="22"/>
          <w:szCs w:val="22"/>
        </w:rPr>
        <w:t xml:space="preserve">Obecnie Nowa Sól jest jednym z większych ośrodków przemysłowych na zachodzie Polski. Istnieje tutaj wiele </w:t>
      </w:r>
      <w:r w:rsidR="00463253" w:rsidRPr="00662F03">
        <w:rPr>
          <w:rFonts w:ascii="Calibri" w:hAnsi="Calibri" w:cs="Tahoma"/>
          <w:sz w:val="22"/>
          <w:szCs w:val="22"/>
        </w:rPr>
        <w:t>przedsiębiorstw, które</w:t>
      </w:r>
      <w:r w:rsidR="00B3352A" w:rsidRPr="00662F03">
        <w:rPr>
          <w:rFonts w:ascii="Calibri" w:hAnsi="Calibri" w:cs="Tahoma"/>
          <w:sz w:val="22"/>
          <w:szCs w:val="22"/>
        </w:rPr>
        <w:t xml:space="preserve"> działają w branży budowlanej, metalowej, maszynowej, elektrotechnicznej, spożywczej, motoryzacyjnej, elektronicznej. W Nowej Soli istnieje Kostrzyńsko-Słubicka Specjalna Strefa Ekonomiczna, w której powstało wiele fabryk. W mieście rozwija się handel, usługi, powstają nowe składy, hurtownie, sklepy, stacje benzynowe. Rozwija się sektor małych i średnich firm. Rozbudowywane są stacje obsługi pojazdów i serwisy. W mieście dominują średnie i małe przedsiębiorstwa budowlane, metalurgiczne i handlowe.</w:t>
      </w:r>
    </w:p>
    <w:p w:rsidR="006D7B09" w:rsidRPr="00662F03" w:rsidRDefault="006D7B09" w:rsidP="006D7B09">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wyniku przeprowadzonej analizy 75 gmin miejsko-wiejskich o podobnej liczbie mieszkańców, gmina Sulechów zajmuje </w:t>
      </w:r>
      <w:r w:rsidR="00F47FD9" w:rsidRPr="00662F03">
        <w:rPr>
          <w:rFonts w:ascii="Calibri" w:hAnsi="Calibri" w:cs="Tahoma"/>
          <w:sz w:val="22"/>
          <w:szCs w:val="22"/>
        </w:rPr>
        <w:t>1</w:t>
      </w:r>
      <w:r w:rsidRPr="00662F03">
        <w:rPr>
          <w:rFonts w:ascii="Calibri" w:hAnsi="Calibri" w:cs="Tahoma"/>
          <w:sz w:val="22"/>
          <w:szCs w:val="22"/>
        </w:rPr>
        <w:t>3 miejsce pod względem udziału osób pracujących w sektorze przemysłu i budownictwa (4</w:t>
      </w:r>
      <w:r w:rsidR="00F47FD9" w:rsidRPr="00662F03">
        <w:rPr>
          <w:rFonts w:ascii="Calibri" w:hAnsi="Calibri" w:cs="Tahoma"/>
          <w:sz w:val="22"/>
          <w:szCs w:val="22"/>
        </w:rPr>
        <w:t>5</w:t>
      </w:r>
      <w:r w:rsidRPr="00662F03">
        <w:rPr>
          <w:rFonts w:ascii="Calibri" w:hAnsi="Calibri" w:cs="Tahoma"/>
          <w:sz w:val="22"/>
          <w:szCs w:val="22"/>
        </w:rPr>
        <w:t xml:space="preserve">%). Sektor usługowy zapewnia zatrudnienie dla ponad połowy pracujących, co daje gminie </w:t>
      </w:r>
      <w:r w:rsidR="00F47FD9" w:rsidRPr="00662F03">
        <w:rPr>
          <w:rFonts w:ascii="Calibri" w:hAnsi="Calibri" w:cs="Tahoma"/>
          <w:sz w:val="22"/>
          <w:szCs w:val="22"/>
        </w:rPr>
        <w:t>32</w:t>
      </w:r>
      <w:r w:rsidRPr="00662F03">
        <w:rPr>
          <w:rFonts w:ascii="Calibri" w:hAnsi="Calibri" w:cs="Tahoma"/>
          <w:sz w:val="22"/>
          <w:szCs w:val="22"/>
        </w:rPr>
        <w:t xml:space="preserve"> miejsce wśród w/w gmin.</w:t>
      </w:r>
    </w:p>
    <w:p w:rsidR="006D7B09" w:rsidRPr="00662F03" w:rsidRDefault="007F5FC1" w:rsidP="006D7B09">
      <w:pPr>
        <w:shd w:val="clear" w:color="auto" w:fill="FFFFFF"/>
        <w:spacing w:before="150" w:after="75"/>
        <w:jc w:val="both"/>
        <w:outlineLvl w:val="3"/>
        <w:rPr>
          <w:rFonts w:ascii="Calibri" w:hAnsi="Calibri" w:cs="Tahoma"/>
          <w:sz w:val="22"/>
          <w:szCs w:val="22"/>
          <w:highlight w:val="yellow"/>
        </w:rPr>
      </w:pPr>
      <w:r w:rsidRPr="00662F03">
        <w:rPr>
          <w:rFonts w:ascii="Calibri" w:hAnsi="Calibri" w:cs="Tahoma"/>
          <w:sz w:val="22"/>
          <w:szCs w:val="22"/>
        </w:rPr>
        <w:t>Największe</w:t>
      </w:r>
      <w:r w:rsidR="006D7B09" w:rsidRPr="00662F03">
        <w:rPr>
          <w:rFonts w:ascii="Calibri" w:hAnsi="Calibri" w:cs="Tahoma"/>
          <w:sz w:val="22"/>
          <w:szCs w:val="22"/>
        </w:rPr>
        <w:t xml:space="preserve"> przedsiębiorstwa lokalne</w:t>
      </w:r>
      <w:r w:rsidRPr="00662F03">
        <w:rPr>
          <w:rFonts w:ascii="Calibri" w:hAnsi="Calibri" w:cs="Tahoma"/>
          <w:sz w:val="22"/>
          <w:szCs w:val="22"/>
        </w:rPr>
        <w:t xml:space="preserve"> to</w:t>
      </w:r>
      <w:r w:rsidR="006D7B09" w:rsidRPr="00662F03">
        <w:rPr>
          <w:rFonts w:ascii="Calibri" w:hAnsi="Calibri" w:cs="Tahoma"/>
          <w:sz w:val="22"/>
          <w:szCs w:val="22"/>
        </w:rPr>
        <w:t xml:space="preserve">: </w:t>
      </w:r>
      <w:r w:rsidR="00DD5408" w:rsidRPr="00662F03">
        <w:rPr>
          <w:rFonts w:ascii="Calibri" w:hAnsi="Calibri" w:cs="Tahoma"/>
          <w:sz w:val="22"/>
          <w:szCs w:val="22"/>
        </w:rPr>
        <w:t>Zakład Produkcji Opakowań KARTON PAK S.A., Zakłady Jajczarskie „OVOPOL” sp. z o.o., OMNIMODO</w:t>
      </w:r>
      <w:r w:rsidR="00463253" w:rsidRPr="00662F03">
        <w:rPr>
          <w:rFonts w:ascii="Calibri" w:hAnsi="Calibri" w:cs="Tahoma"/>
          <w:sz w:val="22"/>
          <w:szCs w:val="22"/>
        </w:rPr>
        <w:t>, Przedsiębiorstwo Projektowo-</w:t>
      </w:r>
      <w:r w:rsidR="00DD5408" w:rsidRPr="00662F03">
        <w:rPr>
          <w:rFonts w:ascii="Calibri" w:hAnsi="Calibri" w:cs="Tahoma"/>
          <w:sz w:val="22"/>
          <w:szCs w:val="22"/>
        </w:rPr>
        <w:t>Produkcyjne TECHNICAL Sp. z o.o., VOIT Polska sp. z o.o., AB Foods Polska Sp. z o.o., BCC Polska sp. z o.o., Funai Elecrtic (Polska), GEDIA POLAND Sp. z o.o., JOST Sp. z o.o., PPH „Jadik” sp. z o.o., Logosol Polska Sp. z o.o., Mazel M. H. Mazurkiewicz sp. j., Nord</w:t>
      </w:r>
      <w:r w:rsidR="004E130F" w:rsidRPr="00662F03">
        <w:rPr>
          <w:rFonts w:ascii="Calibri" w:hAnsi="Calibri" w:cs="Tahoma"/>
          <w:sz w:val="22"/>
          <w:szCs w:val="22"/>
        </w:rPr>
        <w:t xml:space="preserve"> Zakłady Produkcyjne Sp. z o.o.</w:t>
      </w:r>
    </w:p>
    <w:p w:rsidR="00B3352A" w:rsidRPr="00662F03" w:rsidRDefault="00B3352A" w:rsidP="006D7B09">
      <w:pPr>
        <w:shd w:val="clear" w:color="auto" w:fill="FFFFFF"/>
        <w:spacing w:before="150" w:after="75"/>
        <w:jc w:val="both"/>
        <w:outlineLvl w:val="3"/>
        <w:rPr>
          <w:rFonts w:ascii="Calibri" w:hAnsi="Calibri" w:cs="Tahoma"/>
          <w:sz w:val="22"/>
          <w:szCs w:val="22"/>
        </w:rPr>
      </w:pPr>
    </w:p>
    <w:p w:rsidR="006D7B09" w:rsidRPr="00662F03" w:rsidRDefault="006D7B09" w:rsidP="006D7B09">
      <w:pPr>
        <w:shd w:val="clear" w:color="auto" w:fill="FFFFFF"/>
        <w:spacing w:before="150" w:after="75"/>
        <w:jc w:val="both"/>
        <w:outlineLvl w:val="3"/>
        <w:rPr>
          <w:rFonts w:ascii="Calibri" w:hAnsi="Calibri" w:cs="Tahoma"/>
          <w:b/>
          <w:i/>
          <w:color w:val="365F91"/>
          <w:sz w:val="22"/>
          <w:szCs w:val="22"/>
        </w:rPr>
      </w:pPr>
      <w:r w:rsidRPr="00662F03">
        <w:rPr>
          <w:rFonts w:ascii="Calibri" w:hAnsi="Calibri" w:cs="Tahoma"/>
          <w:b/>
          <w:i/>
          <w:color w:val="365F91"/>
          <w:sz w:val="22"/>
          <w:szCs w:val="22"/>
        </w:rPr>
        <w:t>Aktywność gospodarcza</w:t>
      </w:r>
    </w:p>
    <w:p w:rsidR="008624A3" w:rsidRDefault="006D7B09" w:rsidP="00E20CB6">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 xml:space="preserve">Na koniec 2010 r. w Nowej Soli zarejestrowanych było w systemie REGON ponad 3,7 tys. podmiotów gospodarki narodowej, </w:t>
      </w:r>
      <w:r w:rsidR="000C5BCE" w:rsidRPr="00662F03">
        <w:rPr>
          <w:rFonts w:ascii="Calibri" w:hAnsi="Calibri" w:cs="Tahoma"/>
          <w:sz w:val="22"/>
          <w:szCs w:val="22"/>
        </w:rPr>
        <w:t>co stanowi</w:t>
      </w:r>
      <w:r w:rsidRPr="00662F03">
        <w:rPr>
          <w:rFonts w:ascii="Calibri" w:hAnsi="Calibri" w:cs="Tahoma"/>
          <w:sz w:val="22"/>
          <w:szCs w:val="22"/>
        </w:rPr>
        <w:t xml:space="preserve"> ponad połow</w:t>
      </w:r>
      <w:r w:rsidR="000C5BCE" w:rsidRPr="00662F03">
        <w:rPr>
          <w:rFonts w:ascii="Calibri" w:hAnsi="Calibri" w:cs="Tahoma"/>
          <w:sz w:val="22"/>
          <w:szCs w:val="22"/>
        </w:rPr>
        <w:t>ę</w:t>
      </w:r>
      <w:r w:rsidRPr="00662F03">
        <w:rPr>
          <w:rFonts w:ascii="Calibri" w:hAnsi="Calibri" w:cs="Tahoma"/>
          <w:sz w:val="22"/>
          <w:szCs w:val="22"/>
        </w:rPr>
        <w:t xml:space="preserve"> podmiotów w powiecie </w:t>
      </w:r>
      <w:r w:rsidR="00D17B04" w:rsidRPr="00662F03">
        <w:rPr>
          <w:rFonts w:ascii="Calibri" w:hAnsi="Calibri" w:cs="Tahoma"/>
          <w:sz w:val="22"/>
          <w:szCs w:val="22"/>
        </w:rPr>
        <w:t>nowosolskim</w:t>
      </w:r>
      <w:r w:rsidRPr="00662F03">
        <w:rPr>
          <w:rFonts w:ascii="Calibri" w:hAnsi="Calibri" w:cs="Tahoma"/>
          <w:sz w:val="22"/>
          <w:szCs w:val="22"/>
        </w:rPr>
        <w:t xml:space="preserve"> (54%). </w:t>
      </w:r>
      <w:r w:rsidR="000C5BCE" w:rsidRPr="00662F03">
        <w:rPr>
          <w:rFonts w:ascii="Calibri" w:hAnsi="Calibri" w:cs="Tahoma"/>
          <w:sz w:val="22"/>
          <w:szCs w:val="22"/>
        </w:rPr>
        <w:t>Prawie 7%</w:t>
      </w:r>
      <w:r w:rsidRPr="00662F03">
        <w:rPr>
          <w:rFonts w:ascii="Calibri" w:hAnsi="Calibri" w:cs="Tahoma"/>
          <w:sz w:val="22"/>
          <w:szCs w:val="22"/>
        </w:rPr>
        <w:t xml:space="preserve"> </w:t>
      </w:r>
      <w:r w:rsidR="00CF484E" w:rsidRPr="00662F03">
        <w:rPr>
          <w:rFonts w:ascii="Calibri" w:hAnsi="Calibri" w:cs="Tahoma"/>
          <w:sz w:val="22"/>
          <w:szCs w:val="22"/>
        </w:rPr>
        <w:t xml:space="preserve">jednostek </w:t>
      </w:r>
      <w:r w:rsidRPr="00662F03">
        <w:rPr>
          <w:rFonts w:ascii="Calibri" w:hAnsi="Calibri" w:cs="Tahoma"/>
          <w:sz w:val="22"/>
          <w:szCs w:val="22"/>
        </w:rPr>
        <w:t>należał</w:t>
      </w:r>
      <w:r w:rsidR="00CF484E" w:rsidRPr="00662F03">
        <w:rPr>
          <w:rFonts w:ascii="Calibri" w:hAnsi="Calibri" w:cs="Tahoma"/>
          <w:sz w:val="22"/>
          <w:szCs w:val="22"/>
        </w:rPr>
        <w:t>o</w:t>
      </w:r>
      <w:r w:rsidRPr="00662F03">
        <w:rPr>
          <w:rFonts w:ascii="Calibri" w:hAnsi="Calibri" w:cs="Tahoma"/>
          <w:sz w:val="22"/>
          <w:szCs w:val="22"/>
        </w:rPr>
        <w:t xml:space="preserve"> do sektora publicznego. W porównaniu z rokiem 1995 nastąpił wzrost liczby przedsiębiorstw </w:t>
      </w:r>
      <w:r w:rsidR="000C5BCE" w:rsidRPr="00662F03">
        <w:rPr>
          <w:rFonts w:ascii="Calibri" w:hAnsi="Calibri" w:cs="Tahoma"/>
          <w:sz w:val="22"/>
          <w:szCs w:val="22"/>
        </w:rPr>
        <w:t xml:space="preserve">o </w:t>
      </w:r>
      <w:r w:rsidR="00E0380D" w:rsidRPr="00662F03">
        <w:rPr>
          <w:rFonts w:ascii="Calibri" w:hAnsi="Calibri" w:cs="Tahoma"/>
          <w:sz w:val="22"/>
          <w:szCs w:val="22"/>
        </w:rPr>
        <w:t>4,5%</w:t>
      </w:r>
      <w:r w:rsidRPr="00662F03">
        <w:rPr>
          <w:rFonts w:ascii="Calibri" w:hAnsi="Calibri" w:cs="Tahoma"/>
          <w:sz w:val="22"/>
          <w:szCs w:val="22"/>
        </w:rPr>
        <w:t>.</w:t>
      </w:r>
    </w:p>
    <w:p w:rsidR="006D7B09" w:rsidRPr="006A1A22" w:rsidRDefault="006D7B09" w:rsidP="004D5193">
      <w:pPr>
        <w:pStyle w:val="Legenda"/>
        <w:rPr>
          <w:rFonts w:ascii="Calibri" w:hAnsi="Calibri"/>
          <w:b w:val="0"/>
        </w:rPr>
      </w:pPr>
      <w:bookmarkStart w:id="60" w:name="_Toc315790509"/>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40</w:t>
      </w:r>
      <w:r w:rsidR="005433B6" w:rsidRPr="00662F03">
        <w:rPr>
          <w:rFonts w:ascii="Calibri" w:hAnsi="Calibri"/>
          <w:b w:val="0"/>
        </w:rPr>
        <w:fldChar w:fldCharType="end"/>
      </w:r>
      <w:r w:rsidRPr="00662F03">
        <w:rPr>
          <w:rFonts w:ascii="Calibri" w:hAnsi="Calibri"/>
          <w:b w:val="0"/>
        </w:rPr>
        <w:t>.</w:t>
      </w:r>
      <w:r w:rsidR="00123EB4" w:rsidRPr="00123EB4">
        <w:rPr>
          <w:b w:val="0"/>
          <w:bCs w:val="0"/>
          <w:color w:val="000000"/>
          <w:kern w:val="24"/>
          <w:sz w:val="18"/>
          <w:szCs w:val="18"/>
        </w:rPr>
        <w:t xml:space="preserve"> </w:t>
      </w:r>
      <w:r w:rsidR="00123EB4" w:rsidRPr="006A1A22">
        <w:rPr>
          <w:rFonts w:ascii="Calibri" w:hAnsi="Calibri"/>
          <w:b w:val="0"/>
        </w:rPr>
        <w:t>Liczba podmiotów wpisanych do rejestru REGON w Nowej Soli w latach 1995-2010.</w:t>
      </w:r>
      <w:bookmarkEnd w:id="60"/>
    </w:p>
    <w:p w:rsidR="006D7B09" w:rsidRPr="00662F03" w:rsidRDefault="005B1628" w:rsidP="004D5193">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5158371" cy="2948869"/>
            <wp:effectExtent l="19050" t="0" r="23229" b="3881"/>
            <wp:docPr id="53" name="Wykre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6D7B09" w:rsidRPr="00662F03" w:rsidRDefault="006D7B09" w:rsidP="004D5193">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6D7B09" w:rsidRPr="00662F03" w:rsidRDefault="00CC5F61" w:rsidP="00CC5F61">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 poziomie przedsiębiorczości w danym rejonie świadczy liczba podmiotów przypadająca na 10</w:t>
      </w:r>
      <w:r w:rsidR="00E0380D" w:rsidRPr="00662F03">
        <w:rPr>
          <w:rFonts w:ascii="Calibri" w:hAnsi="Calibri" w:cs="Tahoma"/>
          <w:sz w:val="22"/>
          <w:szCs w:val="22"/>
        </w:rPr>
        <w:t xml:space="preserve"> tys.</w:t>
      </w:r>
      <w:r w:rsidRPr="00662F03">
        <w:rPr>
          <w:rFonts w:ascii="Calibri" w:hAnsi="Calibri" w:cs="Tahoma"/>
          <w:sz w:val="22"/>
          <w:szCs w:val="22"/>
        </w:rPr>
        <w:t xml:space="preserve"> ludności zamieszkałej na tym terenie. Śr</w:t>
      </w:r>
      <w:r w:rsidR="00E0380D" w:rsidRPr="00662F03">
        <w:rPr>
          <w:rFonts w:ascii="Calibri" w:hAnsi="Calibri" w:cs="Tahoma"/>
          <w:sz w:val="22"/>
          <w:szCs w:val="22"/>
        </w:rPr>
        <w:t>ednio w powiecie na 10 tys.</w:t>
      </w:r>
      <w:r w:rsidRPr="00662F03">
        <w:rPr>
          <w:rFonts w:ascii="Calibri" w:hAnsi="Calibri" w:cs="Tahoma"/>
          <w:sz w:val="22"/>
          <w:szCs w:val="22"/>
        </w:rPr>
        <w:t xml:space="preserve"> ludności przypadało 75</w:t>
      </w:r>
      <w:r w:rsidR="00E0380D" w:rsidRPr="00662F03">
        <w:rPr>
          <w:rFonts w:ascii="Calibri" w:hAnsi="Calibri" w:cs="Tahoma"/>
          <w:sz w:val="22"/>
          <w:szCs w:val="22"/>
        </w:rPr>
        <w:t>2</w:t>
      </w:r>
      <w:r w:rsidRPr="00662F03">
        <w:rPr>
          <w:rFonts w:ascii="Calibri" w:hAnsi="Calibri" w:cs="Tahoma"/>
          <w:sz w:val="22"/>
          <w:szCs w:val="22"/>
        </w:rPr>
        <w:t xml:space="preserve"> podmiotów gospodarki narodowej. Najwyższy wskaźnik wśród gmin powiatu odnotowano</w:t>
      </w:r>
      <w:r w:rsidR="00E0380D" w:rsidRPr="00662F03">
        <w:rPr>
          <w:rFonts w:ascii="Calibri" w:hAnsi="Calibri" w:cs="Tahoma"/>
          <w:sz w:val="22"/>
          <w:szCs w:val="22"/>
        </w:rPr>
        <w:t xml:space="preserve"> w gminie miejskiej Nowa Sól (908</w:t>
      </w:r>
      <w:r w:rsidRPr="00662F03">
        <w:rPr>
          <w:rFonts w:ascii="Calibri" w:hAnsi="Calibri" w:cs="Tahoma"/>
          <w:sz w:val="22"/>
          <w:szCs w:val="22"/>
        </w:rPr>
        <w:t>). Wskaźnik ten dla Nowej Soli jest dużo</w:t>
      </w:r>
      <w:r w:rsidR="006D7B09" w:rsidRPr="00662F03">
        <w:rPr>
          <w:rFonts w:ascii="Calibri" w:hAnsi="Calibri" w:cs="Tahoma"/>
          <w:sz w:val="22"/>
          <w:szCs w:val="22"/>
        </w:rPr>
        <w:t xml:space="preserve"> </w:t>
      </w:r>
      <w:r w:rsidRPr="00662F03">
        <w:rPr>
          <w:rFonts w:ascii="Calibri" w:hAnsi="Calibri" w:cs="Tahoma"/>
          <w:sz w:val="22"/>
          <w:szCs w:val="22"/>
        </w:rPr>
        <w:t>niższy</w:t>
      </w:r>
      <w:r w:rsidR="006D7B09" w:rsidRPr="00662F03">
        <w:rPr>
          <w:rFonts w:ascii="Calibri" w:hAnsi="Calibri" w:cs="Tahoma"/>
          <w:sz w:val="22"/>
          <w:szCs w:val="22"/>
        </w:rPr>
        <w:t xml:space="preserve"> niż w </w:t>
      </w:r>
      <w:r w:rsidRPr="00662F03">
        <w:rPr>
          <w:rFonts w:ascii="Calibri" w:hAnsi="Calibri" w:cs="Tahoma"/>
          <w:sz w:val="22"/>
          <w:szCs w:val="22"/>
        </w:rPr>
        <w:t xml:space="preserve">przeciętnie w </w:t>
      </w:r>
      <w:r w:rsidR="006D7B09" w:rsidRPr="00662F03">
        <w:rPr>
          <w:rFonts w:ascii="Calibri" w:hAnsi="Calibri" w:cs="Tahoma"/>
          <w:sz w:val="22"/>
          <w:szCs w:val="22"/>
        </w:rPr>
        <w:lastRenderedPageBreak/>
        <w:t xml:space="preserve">województwie lubuskim czy w Polsce. Analizując wysokość wskaźnika dla </w:t>
      </w:r>
      <w:r w:rsidRPr="00662F03">
        <w:rPr>
          <w:rFonts w:ascii="Calibri" w:hAnsi="Calibri" w:cs="Tahoma"/>
          <w:sz w:val="22"/>
          <w:szCs w:val="22"/>
        </w:rPr>
        <w:t>miast</w:t>
      </w:r>
      <w:r w:rsidR="006D7B09" w:rsidRPr="00662F03">
        <w:rPr>
          <w:rFonts w:ascii="Calibri" w:hAnsi="Calibri" w:cs="Tahoma"/>
          <w:sz w:val="22"/>
          <w:szCs w:val="22"/>
        </w:rPr>
        <w:t xml:space="preserve"> o po</w:t>
      </w:r>
      <w:r w:rsidRPr="00662F03">
        <w:rPr>
          <w:rFonts w:ascii="Calibri" w:hAnsi="Calibri" w:cs="Tahoma"/>
          <w:sz w:val="22"/>
          <w:szCs w:val="22"/>
        </w:rPr>
        <w:t>równywalnej</w:t>
      </w:r>
      <w:r w:rsidR="006D7B09" w:rsidRPr="00662F03">
        <w:rPr>
          <w:rFonts w:ascii="Calibri" w:hAnsi="Calibri" w:cs="Tahoma"/>
          <w:sz w:val="22"/>
          <w:szCs w:val="22"/>
        </w:rPr>
        <w:t xml:space="preserve"> liczbie ludności w Polsce, na </w:t>
      </w:r>
      <w:r w:rsidR="00984EC0" w:rsidRPr="00662F03">
        <w:rPr>
          <w:rFonts w:ascii="Calibri" w:hAnsi="Calibri" w:cs="Tahoma"/>
          <w:sz w:val="22"/>
          <w:szCs w:val="22"/>
        </w:rPr>
        <w:t>58</w:t>
      </w:r>
      <w:r w:rsidR="006D7B09" w:rsidRPr="00662F03">
        <w:rPr>
          <w:rFonts w:ascii="Calibri" w:hAnsi="Calibri" w:cs="Tahoma"/>
          <w:sz w:val="22"/>
          <w:szCs w:val="22"/>
        </w:rPr>
        <w:t xml:space="preserve"> mi</w:t>
      </w:r>
      <w:r w:rsidR="00984EC0" w:rsidRPr="00662F03">
        <w:rPr>
          <w:rFonts w:ascii="Calibri" w:hAnsi="Calibri" w:cs="Tahoma"/>
          <w:sz w:val="22"/>
          <w:szCs w:val="22"/>
        </w:rPr>
        <w:t>ast</w:t>
      </w:r>
      <w:r w:rsidR="006D7B09" w:rsidRPr="00662F03">
        <w:rPr>
          <w:rFonts w:ascii="Calibri" w:hAnsi="Calibri" w:cs="Tahoma"/>
          <w:sz w:val="22"/>
          <w:szCs w:val="22"/>
        </w:rPr>
        <w:t xml:space="preserve"> </w:t>
      </w:r>
      <w:r w:rsidR="00984EC0" w:rsidRPr="00662F03">
        <w:rPr>
          <w:rFonts w:ascii="Calibri" w:hAnsi="Calibri" w:cs="Tahoma"/>
          <w:sz w:val="22"/>
          <w:szCs w:val="22"/>
        </w:rPr>
        <w:t xml:space="preserve">Nowa Sól </w:t>
      </w:r>
      <w:r w:rsidR="006D7B09" w:rsidRPr="00662F03">
        <w:rPr>
          <w:rFonts w:ascii="Calibri" w:hAnsi="Calibri" w:cs="Tahoma"/>
          <w:sz w:val="22"/>
          <w:szCs w:val="22"/>
        </w:rPr>
        <w:t>plasował</w:t>
      </w:r>
      <w:r w:rsidR="00984EC0" w:rsidRPr="00662F03">
        <w:rPr>
          <w:rFonts w:ascii="Calibri" w:hAnsi="Calibri" w:cs="Tahoma"/>
          <w:sz w:val="22"/>
          <w:szCs w:val="22"/>
        </w:rPr>
        <w:t>a</w:t>
      </w:r>
      <w:r w:rsidR="006D7B09" w:rsidRPr="00662F03">
        <w:rPr>
          <w:rFonts w:ascii="Calibri" w:hAnsi="Calibri" w:cs="Tahoma"/>
          <w:sz w:val="22"/>
          <w:szCs w:val="22"/>
        </w:rPr>
        <w:t xml:space="preserve"> się na </w:t>
      </w:r>
      <w:r w:rsidR="00984EC0" w:rsidRPr="00662F03">
        <w:rPr>
          <w:rFonts w:ascii="Calibri" w:hAnsi="Calibri" w:cs="Tahoma"/>
          <w:sz w:val="22"/>
          <w:szCs w:val="22"/>
        </w:rPr>
        <w:t>53</w:t>
      </w:r>
      <w:r w:rsidR="006D7B09" w:rsidRPr="00662F03">
        <w:rPr>
          <w:rFonts w:ascii="Calibri" w:hAnsi="Calibri" w:cs="Tahoma"/>
          <w:sz w:val="22"/>
          <w:szCs w:val="22"/>
        </w:rPr>
        <w:t xml:space="preserve"> pozycji.</w:t>
      </w:r>
    </w:p>
    <w:p w:rsidR="006D7B09" w:rsidRPr="006A1A22" w:rsidRDefault="006D7B09" w:rsidP="006A1A22">
      <w:pPr>
        <w:pStyle w:val="Legenda"/>
        <w:jc w:val="both"/>
        <w:rPr>
          <w:rFonts w:ascii="Calibri" w:hAnsi="Calibri"/>
        </w:rPr>
      </w:pPr>
      <w:bookmarkStart w:id="61" w:name="_Toc315790510"/>
      <w:r w:rsidRPr="00662F03">
        <w:rPr>
          <w:rFonts w:ascii="Calibri" w:hAnsi="Calibri"/>
          <w:b w:val="0"/>
        </w:rPr>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41</w:t>
      </w:r>
      <w:r w:rsidR="005433B6" w:rsidRPr="00662F03">
        <w:rPr>
          <w:rFonts w:ascii="Calibri" w:hAnsi="Calibri"/>
          <w:b w:val="0"/>
        </w:rPr>
        <w:fldChar w:fldCharType="end"/>
      </w:r>
      <w:r w:rsidRPr="00662F03">
        <w:rPr>
          <w:rFonts w:ascii="Calibri" w:hAnsi="Calibri"/>
          <w:b w:val="0"/>
        </w:rPr>
        <w:t>.</w:t>
      </w:r>
      <w:r w:rsidR="006A1A22" w:rsidRPr="006A1A22">
        <w:rPr>
          <w:b w:val="0"/>
          <w:bCs w:val="0"/>
          <w:color w:val="000000"/>
          <w:kern w:val="24"/>
          <w:sz w:val="18"/>
          <w:szCs w:val="18"/>
        </w:rPr>
        <w:t xml:space="preserve"> </w:t>
      </w:r>
      <w:r w:rsidR="006A1A22" w:rsidRPr="006A1A22">
        <w:rPr>
          <w:rFonts w:ascii="Calibri" w:hAnsi="Calibri"/>
          <w:b w:val="0"/>
        </w:rPr>
        <w:t>Podmioty zarejestrowane w rejestrze REGON na 10 tys. ludności w 2009 r. - Nowa Sól na tle Polski, województwa, powiatu oraz miast o podobnej wielkości.</w:t>
      </w:r>
      <w:bookmarkEnd w:id="61"/>
    </w:p>
    <w:p w:rsidR="006D7B09" w:rsidRPr="00662F03" w:rsidRDefault="005B1628" w:rsidP="004D5193">
      <w:pPr>
        <w:shd w:val="clear" w:color="auto" w:fill="FFFFFF"/>
        <w:jc w:val="center"/>
        <w:outlineLvl w:val="3"/>
        <w:rPr>
          <w:rFonts w:ascii="Calibri" w:hAnsi="Calibri" w:cs="Tahoma"/>
          <w:sz w:val="22"/>
          <w:szCs w:val="22"/>
        </w:rPr>
      </w:pPr>
      <w:r>
        <w:rPr>
          <w:rFonts w:ascii="Calibri" w:hAnsi="Calibri" w:cs="Tahoma"/>
          <w:noProof/>
          <w:sz w:val="22"/>
          <w:szCs w:val="22"/>
        </w:rPr>
        <w:drawing>
          <wp:inline distT="0" distB="0" distL="0" distR="0">
            <wp:extent cx="5307178" cy="3170307"/>
            <wp:effectExtent l="19050" t="0" r="26822" b="0"/>
            <wp:docPr id="54"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6D7B09" w:rsidRPr="00662F03" w:rsidRDefault="006D7B09" w:rsidP="004D5193">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p>
    <w:p w:rsidR="00153488" w:rsidRPr="00662F03" w:rsidRDefault="00153488" w:rsidP="00153488">
      <w:pPr>
        <w:pStyle w:val="Legenda"/>
        <w:rPr>
          <w:rFonts w:ascii="Calibri" w:hAnsi="Calibri"/>
          <w:b w:val="0"/>
        </w:rPr>
      </w:pPr>
    </w:p>
    <w:p w:rsidR="001446F0" w:rsidRPr="00662F03" w:rsidRDefault="001446F0" w:rsidP="001446F0">
      <w:pPr>
        <w:rPr>
          <w:rFonts w:ascii="Calibri" w:hAnsi="Calibri"/>
        </w:rPr>
        <w:sectPr w:rsidR="001446F0" w:rsidRPr="00662F03" w:rsidSect="005456B3">
          <w:type w:val="continuous"/>
          <w:pgSz w:w="11906" w:h="16838"/>
          <w:pgMar w:top="1098" w:right="1417" w:bottom="1417" w:left="1417" w:header="708" w:footer="708" w:gutter="0"/>
          <w:cols w:space="708"/>
          <w:titlePg/>
          <w:docGrid w:linePitch="360"/>
        </w:sectPr>
      </w:pPr>
    </w:p>
    <w:p w:rsidR="00153488" w:rsidRPr="006A1A22" w:rsidRDefault="00153488" w:rsidP="004D5193">
      <w:pPr>
        <w:pStyle w:val="Legenda"/>
        <w:rPr>
          <w:rFonts w:ascii="Calibri" w:hAnsi="Calibri"/>
        </w:rPr>
      </w:pPr>
      <w:bookmarkStart w:id="62" w:name="_Toc315790511"/>
      <w:r w:rsidRPr="00662F03">
        <w:rPr>
          <w:rFonts w:ascii="Calibri" w:hAnsi="Calibri"/>
          <w:b w:val="0"/>
        </w:rPr>
        <w:lastRenderedPageBreak/>
        <w:t xml:space="preserve">Wykres </w:t>
      </w:r>
      <w:r w:rsidR="005433B6" w:rsidRPr="00662F03">
        <w:rPr>
          <w:rFonts w:ascii="Calibri" w:hAnsi="Calibri"/>
          <w:b w:val="0"/>
        </w:rPr>
        <w:fldChar w:fldCharType="begin"/>
      </w:r>
      <w:r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42</w:t>
      </w:r>
      <w:r w:rsidR="005433B6" w:rsidRPr="00662F03">
        <w:rPr>
          <w:rFonts w:ascii="Calibri" w:hAnsi="Calibri"/>
          <w:b w:val="0"/>
        </w:rPr>
        <w:fldChar w:fldCharType="end"/>
      </w:r>
      <w:r w:rsidRPr="00662F03">
        <w:rPr>
          <w:rFonts w:ascii="Calibri" w:hAnsi="Calibri"/>
          <w:b w:val="0"/>
        </w:rPr>
        <w:t>.</w:t>
      </w:r>
      <w:r w:rsidR="006A1A22" w:rsidRPr="006A1A22">
        <w:rPr>
          <w:b w:val="0"/>
          <w:bCs w:val="0"/>
          <w:color w:val="000000"/>
          <w:kern w:val="24"/>
          <w:sz w:val="18"/>
          <w:szCs w:val="18"/>
        </w:rPr>
        <w:t xml:space="preserve"> </w:t>
      </w:r>
      <w:r w:rsidR="006A1A22" w:rsidRPr="006A1A22">
        <w:rPr>
          <w:rFonts w:ascii="Calibri" w:hAnsi="Calibri"/>
          <w:b w:val="0"/>
        </w:rPr>
        <w:t>Struktura podmiotów gospodarczych w Nowej Soli wg wielkości zatrudnienia w 2010 r.</w:t>
      </w:r>
      <w:bookmarkEnd w:id="62"/>
      <w:r w:rsidR="006A1A22" w:rsidRPr="006A1A22">
        <w:rPr>
          <w:rFonts w:ascii="Calibri" w:hAnsi="Calibri"/>
        </w:rPr>
        <w:t xml:space="preserve"> </w:t>
      </w:r>
    </w:p>
    <w:p w:rsidR="00153488" w:rsidRPr="00662F03" w:rsidRDefault="005B1628" w:rsidP="004D5193">
      <w:pPr>
        <w:pStyle w:val="Legenda"/>
        <w:rPr>
          <w:rFonts w:ascii="Calibri" w:hAnsi="Calibri"/>
          <w:b w:val="0"/>
        </w:rPr>
      </w:pPr>
      <w:r>
        <w:rPr>
          <w:rFonts w:ascii="Calibri" w:hAnsi="Calibri"/>
          <w:b w:val="0"/>
          <w:noProof/>
        </w:rPr>
        <w:drawing>
          <wp:inline distT="0" distB="0" distL="0" distR="0">
            <wp:extent cx="2809683" cy="2796363"/>
            <wp:effectExtent l="19050" t="0" r="9717" b="3987"/>
            <wp:docPr id="55"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44D19" w:rsidRPr="006A1A22" w:rsidRDefault="00744D19" w:rsidP="004D5193">
      <w:pPr>
        <w:shd w:val="clear" w:color="auto" w:fill="FFFFFF"/>
        <w:jc w:val="both"/>
        <w:outlineLvl w:val="3"/>
        <w:rPr>
          <w:rFonts w:ascii="Calibri" w:hAnsi="Calibri" w:cs="Tahoma"/>
          <w:sz w:val="20"/>
          <w:szCs w:val="22"/>
        </w:rPr>
      </w:pPr>
      <w:r w:rsidRPr="006A1A22">
        <w:rPr>
          <w:rFonts w:ascii="Calibri" w:hAnsi="Calibri" w:cs="Tahoma"/>
          <w:sz w:val="20"/>
          <w:szCs w:val="22"/>
        </w:rPr>
        <w:t>Źródło: opracowanie własne na podstawie danych GUS</w:t>
      </w:r>
      <w:r w:rsidR="004A24CA">
        <w:rPr>
          <w:rFonts w:ascii="Calibri" w:hAnsi="Calibri"/>
          <w:sz w:val="20"/>
        </w:rPr>
        <w:t>, Bank Danych Lokalnych</w:t>
      </w:r>
      <w:r w:rsidR="00153488" w:rsidRPr="006A1A22">
        <w:rPr>
          <w:rFonts w:ascii="Calibri" w:hAnsi="Calibri" w:cs="Tahoma"/>
          <w:sz w:val="20"/>
          <w:szCs w:val="22"/>
        </w:rPr>
        <w:t>.</w:t>
      </w:r>
      <w:r w:rsidR="00153488" w:rsidRPr="006A1A22">
        <w:rPr>
          <w:rFonts w:ascii="Calibri" w:hAnsi="Calibri" w:cs="Tahoma"/>
          <w:sz w:val="20"/>
          <w:szCs w:val="22"/>
        </w:rPr>
        <w:br w:type="column"/>
      </w:r>
    </w:p>
    <w:p w:rsidR="00153488" w:rsidRPr="00662F03" w:rsidRDefault="00E0380D" w:rsidP="00744D19">
      <w:pPr>
        <w:shd w:val="clear" w:color="auto" w:fill="FFFFFF"/>
        <w:spacing w:before="150" w:after="75"/>
        <w:jc w:val="both"/>
        <w:outlineLvl w:val="3"/>
        <w:rPr>
          <w:rFonts w:ascii="Calibri" w:hAnsi="Calibri" w:cs="Tahoma"/>
          <w:sz w:val="22"/>
          <w:szCs w:val="22"/>
        </w:rPr>
        <w:sectPr w:rsidR="00153488" w:rsidRPr="00662F03" w:rsidSect="00A72E5F">
          <w:type w:val="continuous"/>
          <w:pgSz w:w="11906" w:h="16838"/>
          <w:pgMar w:top="1098" w:right="1417" w:bottom="1417" w:left="1417" w:header="708" w:footer="708" w:gutter="0"/>
          <w:cols w:num="2" w:space="568"/>
          <w:titlePg/>
          <w:docGrid w:linePitch="360"/>
        </w:sectPr>
      </w:pPr>
      <w:r w:rsidRPr="00662F03">
        <w:rPr>
          <w:rFonts w:ascii="Calibri" w:hAnsi="Calibri" w:cs="Tahoma"/>
          <w:sz w:val="22"/>
          <w:szCs w:val="22"/>
        </w:rPr>
        <w:t>Najwięcej firm (67</w:t>
      </w:r>
      <w:r w:rsidR="00744D19" w:rsidRPr="00662F03">
        <w:rPr>
          <w:rFonts w:ascii="Calibri" w:hAnsi="Calibri" w:cs="Tahoma"/>
          <w:sz w:val="22"/>
          <w:szCs w:val="22"/>
        </w:rPr>
        <w:t>%) stanowiło własność osób fizycznych prowadzących działalność gospodarczą. Znaczącą grupę wśród podmiotów gospodarczych stanowiły spółki handlowe (</w:t>
      </w:r>
      <w:r w:rsidRPr="00662F03">
        <w:rPr>
          <w:rFonts w:ascii="Calibri" w:hAnsi="Calibri" w:cs="Tahoma"/>
          <w:sz w:val="22"/>
          <w:szCs w:val="22"/>
        </w:rPr>
        <w:t>5,7%)</w:t>
      </w:r>
      <w:r w:rsidR="00744D19" w:rsidRPr="00662F03">
        <w:rPr>
          <w:rFonts w:ascii="Calibri" w:hAnsi="Calibri" w:cs="Tahoma"/>
          <w:sz w:val="22"/>
          <w:szCs w:val="22"/>
        </w:rPr>
        <w:t>. Na koniec 2</w:t>
      </w:r>
      <w:r w:rsidRPr="00662F03">
        <w:rPr>
          <w:rFonts w:ascii="Calibri" w:hAnsi="Calibri" w:cs="Tahoma"/>
          <w:sz w:val="22"/>
          <w:szCs w:val="22"/>
        </w:rPr>
        <w:t>010 r. zarejestrowanych było 48</w:t>
      </w:r>
      <w:r w:rsidR="00744D19" w:rsidRPr="00662F03">
        <w:rPr>
          <w:rFonts w:ascii="Calibri" w:hAnsi="Calibri" w:cs="Tahoma"/>
          <w:sz w:val="22"/>
          <w:szCs w:val="22"/>
        </w:rPr>
        <w:t xml:space="preserve"> spółek z udziałem kapitału zagranicznego. W 2010 r. w </w:t>
      </w:r>
      <w:r w:rsidRPr="00662F03">
        <w:rPr>
          <w:rFonts w:ascii="Calibri" w:hAnsi="Calibri" w:cs="Tahoma"/>
          <w:sz w:val="22"/>
          <w:szCs w:val="22"/>
        </w:rPr>
        <w:t>Nowej Soli</w:t>
      </w:r>
      <w:r w:rsidR="00744D19" w:rsidRPr="00662F03">
        <w:rPr>
          <w:rFonts w:ascii="Calibri" w:hAnsi="Calibri" w:cs="Tahoma"/>
          <w:sz w:val="22"/>
          <w:szCs w:val="22"/>
        </w:rPr>
        <w:t xml:space="preserve"> przeważały podmioty należące do grupy mikroprzedsiębiorstw tzn. zatrudniające do 9 pracowników, które stanowiły blisko 95% ogółu zarejestrowanych jednostek w </w:t>
      </w:r>
      <w:r w:rsidRPr="00662F03">
        <w:rPr>
          <w:rFonts w:ascii="Calibri" w:hAnsi="Calibri" w:cs="Tahoma"/>
          <w:sz w:val="22"/>
          <w:szCs w:val="22"/>
        </w:rPr>
        <w:t>mieście</w:t>
      </w:r>
      <w:r w:rsidR="00744D19" w:rsidRPr="00662F03">
        <w:rPr>
          <w:rFonts w:ascii="Calibri" w:hAnsi="Calibri" w:cs="Tahoma"/>
          <w:sz w:val="22"/>
          <w:szCs w:val="22"/>
        </w:rPr>
        <w:t>.</w:t>
      </w:r>
    </w:p>
    <w:p w:rsidR="008522CD" w:rsidRDefault="008522CD" w:rsidP="00744D19">
      <w:pPr>
        <w:shd w:val="clear" w:color="auto" w:fill="FFFFFF"/>
        <w:spacing w:before="150" w:after="75"/>
        <w:jc w:val="both"/>
        <w:outlineLvl w:val="3"/>
        <w:rPr>
          <w:rFonts w:ascii="Calibri" w:hAnsi="Calibri" w:cs="Tahoma"/>
          <w:sz w:val="22"/>
          <w:szCs w:val="22"/>
        </w:rPr>
        <w:sectPr w:rsidR="008522CD" w:rsidSect="005456B3">
          <w:type w:val="continuous"/>
          <w:pgSz w:w="11906" w:h="16838"/>
          <w:pgMar w:top="1098" w:right="1417" w:bottom="1417" w:left="1417" w:header="708" w:footer="708" w:gutter="0"/>
          <w:cols w:space="708"/>
          <w:titlePg/>
          <w:docGrid w:linePitch="360"/>
        </w:sectPr>
      </w:pPr>
    </w:p>
    <w:p w:rsidR="00744D19" w:rsidRDefault="00744D19" w:rsidP="00744D19">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 xml:space="preserve">Na koniec 2010 r. wśród podmiotów gospodarczych zarejestrowanych w </w:t>
      </w:r>
      <w:r w:rsidR="00E0380D" w:rsidRPr="00662F03">
        <w:rPr>
          <w:rFonts w:ascii="Calibri" w:hAnsi="Calibri" w:cs="Tahoma"/>
          <w:sz w:val="22"/>
          <w:szCs w:val="22"/>
        </w:rPr>
        <w:t>Nowej Soli</w:t>
      </w:r>
      <w:r w:rsidRPr="00662F03">
        <w:rPr>
          <w:rFonts w:ascii="Calibri" w:hAnsi="Calibri" w:cs="Tahoma"/>
          <w:sz w:val="22"/>
          <w:szCs w:val="22"/>
        </w:rPr>
        <w:t xml:space="preserve"> co czwarta jednostka prowadziła działalność gospodarczą w sekcji handel i naprawa pojazdów samochodowych (27,6%), co ósma działała w branży budowlanej.</w:t>
      </w:r>
    </w:p>
    <w:p w:rsidR="00744D19" w:rsidRPr="006A1A22" w:rsidRDefault="00E20CB6" w:rsidP="00463253">
      <w:pPr>
        <w:pStyle w:val="Legenda"/>
        <w:rPr>
          <w:rFonts w:ascii="Calibri" w:hAnsi="Calibri"/>
        </w:rPr>
      </w:pPr>
      <w:r>
        <w:rPr>
          <w:rFonts w:ascii="Calibri" w:hAnsi="Calibri" w:cs="Tahoma"/>
          <w:b w:val="0"/>
          <w:bCs w:val="0"/>
          <w:sz w:val="22"/>
          <w:szCs w:val="22"/>
        </w:rPr>
        <w:br w:type="page"/>
      </w:r>
      <w:bookmarkStart w:id="63" w:name="_Toc315790512"/>
      <w:r w:rsidR="00744D19" w:rsidRPr="00662F03">
        <w:rPr>
          <w:rFonts w:ascii="Calibri" w:hAnsi="Calibri"/>
          <w:b w:val="0"/>
        </w:rPr>
        <w:lastRenderedPageBreak/>
        <w:t xml:space="preserve">Wykres </w:t>
      </w:r>
      <w:r w:rsidR="005433B6" w:rsidRPr="00662F03">
        <w:rPr>
          <w:rFonts w:ascii="Calibri" w:hAnsi="Calibri"/>
          <w:b w:val="0"/>
        </w:rPr>
        <w:fldChar w:fldCharType="begin"/>
      </w:r>
      <w:r w:rsidR="00744D19" w:rsidRPr="00662F03">
        <w:rPr>
          <w:rFonts w:ascii="Calibri" w:hAnsi="Calibri"/>
          <w:b w:val="0"/>
        </w:rPr>
        <w:instrText xml:space="preserve"> SEQ Wykres \* ARABIC </w:instrText>
      </w:r>
      <w:r w:rsidR="005433B6" w:rsidRPr="00662F03">
        <w:rPr>
          <w:rFonts w:ascii="Calibri" w:hAnsi="Calibri"/>
          <w:b w:val="0"/>
        </w:rPr>
        <w:fldChar w:fldCharType="separate"/>
      </w:r>
      <w:r w:rsidR="00D377D1">
        <w:rPr>
          <w:rFonts w:ascii="Calibri" w:hAnsi="Calibri"/>
          <w:b w:val="0"/>
          <w:noProof/>
        </w:rPr>
        <w:t>43</w:t>
      </w:r>
      <w:r w:rsidR="005433B6" w:rsidRPr="00662F03">
        <w:rPr>
          <w:rFonts w:ascii="Calibri" w:hAnsi="Calibri"/>
          <w:b w:val="0"/>
        </w:rPr>
        <w:fldChar w:fldCharType="end"/>
      </w:r>
      <w:r w:rsidR="00744D19" w:rsidRPr="00662F03">
        <w:rPr>
          <w:rFonts w:ascii="Calibri" w:hAnsi="Calibri"/>
          <w:b w:val="0"/>
        </w:rPr>
        <w:t>.</w:t>
      </w:r>
      <w:r w:rsidR="006A1A22" w:rsidRPr="006A1A22">
        <w:rPr>
          <w:b w:val="0"/>
          <w:bCs w:val="0"/>
          <w:color w:val="000000"/>
          <w:kern w:val="24"/>
        </w:rPr>
        <w:t xml:space="preserve"> </w:t>
      </w:r>
      <w:r w:rsidR="006A1A22" w:rsidRPr="006A1A22">
        <w:rPr>
          <w:rFonts w:ascii="Calibri" w:hAnsi="Calibri"/>
          <w:b w:val="0"/>
        </w:rPr>
        <w:t>Struktura podmiotów gospodarczych w Nowej Soli wg sekcji PKD w 2010 r.</w:t>
      </w:r>
      <w:bookmarkEnd w:id="63"/>
    </w:p>
    <w:p w:rsidR="00744D19" w:rsidRPr="00662F03" w:rsidRDefault="005B1628" w:rsidP="007F5FC1">
      <w:pPr>
        <w:spacing w:line="276" w:lineRule="auto"/>
        <w:jc w:val="center"/>
        <w:rPr>
          <w:rFonts w:ascii="Calibri" w:hAnsi="Calibri" w:cs="Calibri"/>
          <w:sz w:val="22"/>
          <w:szCs w:val="22"/>
        </w:rPr>
      </w:pPr>
      <w:r>
        <w:rPr>
          <w:rFonts w:ascii="Calibri" w:hAnsi="Calibri" w:cs="Calibri"/>
          <w:noProof/>
          <w:sz w:val="22"/>
          <w:szCs w:val="22"/>
        </w:rPr>
        <w:drawing>
          <wp:inline distT="0" distB="0" distL="0" distR="0">
            <wp:extent cx="5533036" cy="3170688"/>
            <wp:effectExtent l="19050" t="0" r="10514" b="0"/>
            <wp:docPr id="56"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744D19" w:rsidRPr="00662F03" w:rsidRDefault="00744D19" w:rsidP="00744D19">
      <w:pPr>
        <w:rPr>
          <w:rFonts w:ascii="Calibri" w:hAnsi="Calibri" w:cs="Calibri"/>
          <w:sz w:val="20"/>
          <w:szCs w:val="20"/>
        </w:rPr>
      </w:pPr>
      <w:r w:rsidRPr="00662F03">
        <w:rPr>
          <w:rFonts w:ascii="Calibri" w:hAnsi="Calibri" w:cs="Calibri"/>
          <w:sz w:val="20"/>
          <w:szCs w:val="20"/>
        </w:rPr>
        <w:t>Źródło: opracowanie własne na podstawie danych GUS</w:t>
      </w:r>
      <w:r w:rsidR="004A24CA">
        <w:rPr>
          <w:rFonts w:ascii="Calibri" w:hAnsi="Calibri"/>
          <w:sz w:val="20"/>
        </w:rPr>
        <w:t>, Bank Danych Lokalnych.</w:t>
      </w:r>
    </w:p>
    <w:p w:rsidR="00744D19" w:rsidRPr="00662F03" w:rsidRDefault="00744D19" w:rsidP="00153488">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 2010 r. w </w:t>
      </w:r>
      <w:r w:rsidR="000C5BCE" w:rsidRPr="00662F03">
        <w:rPr>
          <w:rFonts w:ascii="Calibri" w:hAnsi="Calibri" w:cs="Tahoma"/>
          <w:sz w:val="22"/>
          <w:szCs w:val="22"/>
        </w:rPr>
        <w:t>Nowej Soli</w:t>
      </w:r>
      <w:r w:rsidRPr="00662F03">
        <w:rPr>
          <w:rFonts w:ascii="Calibri" w:hAnsi="Calibri" w:cs="Tahoma"/>
          <w:sz w:val="22"/>
          <w:szCs w:val="22"/>
        </w:rPr>
        <w:t xml:space="preserve"> zarejestrowano </w:t>
      </w:r>
      <w:r w:rsidR="000C5BCE" w:rsidRPr="00662F03">
        <w:rPr>
          <w:rFonts w:ascii="Calibri" w:hAnsi="Calibri" w:cs="Tahoma"/>
          <w:sz w:val="22"/>
          <w:szCs w:val="22"/>
        </w:rPr>
        <w:t>439</w:t>
      </w:r>
      <w:r w:rsidRPr="00662F03">
        <w:rPr>
          <w:rFonts w:ascii="Calibri" w:hAnsi="Calibri" w:cs="Tahoma"/>
          <w:sz w:val="22"/>
          <w:szCs w:val="22"/>
        </w:rPr>
        <w:t xml:space="preserve"> nowych podmiotów gospodarczych, co świadczy o wzroście liczby nowo</w:t>
      </w:r>
      <w:r w:rsidR="000C5BCE" w:rsidRPr="00662F03">
        <w:rPr>
          <w:rFonts w:ascii="Calibri" w:hAnsi="Calibri" w:cs="Tahoma"/>
          <w:sz w:val="22"/>
          <w:szCs w:val="22"/>
        </w:rPr>
        <w:t xml:space="preserve"> </w:t>
      </w:r>
      <w:r w:rsidRPr="00662F03">
        <w:rPr>
          <w:rFonts w:ascii="Calibri" w:hAnsi="Calibri" w:cs="Tahoma"/>
          <w:sz w:val="22"/>
          <w:szCs w:val="22"/>
        </w:rPr>
        <w:t xml:space="preserve">zarejestrowanych podmiotów w </w:t>
      </w:r>
      <w:r w:rsidR="000C5BCE" w:rsidRPr="00662F03">
        <w:rPr>
          <w:rFonts w:ascii="Calibri" w:hAnsi="Calibri" w:cs="Tahoma"/>
          <w:sz w:val="22"/>
          <w:szCs w:val="22"/>
        </w:rPr>
        <w:t>mieście</w:t>
      </w:r>
      <w:r w:rsidRPr="00662F03">
        <w:rPr>
          <w:rFonts w:ascii="Calibri" w:hAnsi="Calibri" w:cs="Tahoma"/>
          <w:sz w:val="22"/>
          <w:szCs w:val="22"/>
        </w:rPr>
        <w:t xml:space="preserve"> w porównaniu z rokiem 2009 o </w:t>
      </w:r>
      <w:r w:rsidR="000C5BCE" w:rsidRPr="00662F03">
        <w:rPr>
          <w:rFonts w:ascii="Calibri" w:hAnsi="Calibri" w:cs="Tahoma"/>
          <w:sz w:val="22"/>
          <w:szCs w:val="22"/>
        </w:rPr>
        <w:t>3,2</w:t>
      </w:r>
      <w:r w:rsidRPr="00662F03">
        <w:rPr>
          <w:rFonts w:ascii="Calibri" w:hAnsi="Calibri" w:cs="Tahoma"/>
          <w:sz w:val="22"/>
          <w:szCs w:val="22"/>
        </w:rPr>
        <w:t>%.</w:t>
      </w:r>
    </w:p>
    <w:p w:rsidR="0039174D" w:rsidRPr="00662F03" w:rsidRDefault="007E1484" w:rsidP="00A56F0E">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sekcji handel, naprawa pojazdów samochodowych działało ponad 28% podmiotów gospodarczych. Duże sieci handlu detalicznego działające w Nowej Soli to</w:t>
      </w:r>
      <w:r w:rsidR="00ED5F47" w:rsidRPr="00662F03">
        <w:rPr>
          <w:rFonts w:ascii="Calibri" w:hAnsi="Calibri" w:cs="Tahoma"/>
          <w:sz w:val="22"/>
          <w:szCs w:val="22"/>
        </w:rPr>
        <w:t xml:space="preserve"> m.in.</w:t>
      </w:r>
      <w:r w:rsidRPr="00662F03">
        <w:rPr>
          <w:rFonts w:ascii="Calibri" w:hAnsi="Calibri" w:cs="Tahoma"/>
          <w:sz w:val="22"/>
          <w:szCs w:val="22"/>
        </w:rPr>
        <w:t>:</w:t>
      </w:r>
      <w:r w:rsidR="00ED5F47" w:rsidRPr="00662F03">
        <w:rPr>
          <w:rFonts w:ascii="Calibri" w:hAnsi="Calibri" w:cs="Tahoma"/>
          <w:sz w:val="22"/>
          <w:szCs w:val="22"/>
        </w:rPr>
        <w:t xml:space="preserve"> Kaufland, Intermarche, Biedronka, Carrefour.</w:t>
      </w:r>
    </w:p>
    <w:p w:rsidR="0034292D" w:rsidRPr="00662F03" w:rsidRDefault="005433B6" w:rsidP="00A56F0E">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42" style="width:449.8pt;height:103.15pt;rotation:-360;mso-position-horizontal-relative:char;mso-position-vertical-relative:line" o:allowincell="f" fillcolor="#a7bfde" stroked="f">
            <v:fill opacity="13107f"/>
            <v:imagedata embosscolor="shadow add(51)"/>
            <v:shadow on="t" color="#d4cfb3" opacity=".5" offset="19pt,-21pt" offset2="26pt,-30pt"/>
            <v:textbox style="mso-next-textbox:#_x0000_s1042;mso-fit-shape-to-text:t" inset="28.8pt,7.2pt,14.4pt,28.8pt">
              <w:txbxContent>
                <w:p w:rsidR="00D24064" w:rsidRPr="00EC0E96" w:rsidRDefault="00D24064" w:rsidP="0034292D">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34292D">
                  <w:pPr>
                    <w:jc w:val="both"/>
                    <w:rPr>
                      <w:rFonts w:ascii="Calibri" w:hAnsi="Calibri"/>
                      <w:i/>
                      <w:iCs/>
                      <w:color w:val="1F497D"/>
                      <w:sz w:val="22"/>
                      <w:szCs w:val="28"/>
                    </w:rPr>
                  </w:pPr>
                  <w:r w:rsidRPr="00EC0E96">
                    <w:rPr>
                      <w:rFonts w:ascii="Calibri" w:hAnsi="Calibri"/>
                      <w:i/>
                      <w:iCs/>
                      <w:color w:val="1F497D"/>
                      <w:sz w:val="22"/>
                      <w:szCs w:val="28"/>
                    </w:rPr>
                    <w:t>Nowa Sól to znaczący ośrodek przemysłowy na zachodzie Polski.</w:t>
                  </w:r>
                  <w:r>
                    <w:rPr>
                      <w:rFonts w:ascii="Calibri" w:hAnsi="Calibri"/>
                      <w:i/>
                      <w:iCs/>
                      <w:color w:val="1F497D"/>
                      <w:sz w:val="22"/>
                      <w:szCs w:val="28"/>
                    </w:rPr>
                    <w:t xml:space="preserve"> W nowosolskiej podstrefie </w:t>
                  </w:r>
                  <w:r w:rsidRPr="007823AD">
                    <w:rPr>
                      <w:rFonts w:ascii="Calibri" w:hAnsi="Calibri"/>
                      <w:i/>
                      <w:iCs/>
                      <w:color w:val="1F497D"/>
                      <w:sz w:val="22"/>
                      <w:szCs w:val="28"/>
                    </w:rPr>
                    <w:t>Kostrzyńsko-Słubickiej Specjalnej Stref</w:t>
                  </w:r>
                  <w:r>
                    <w:rPr>
                      <w:rFonts w:ascii="Calibri" w:hAnsi="Calibri"/>
                      <w:i/>
                      <w:iCs/>
                      <w:color w:val="1F497D"/>
                      <w:sz w:val="22"/>
                      <w:szCs w:val="28"/>
                    </w:rPr>
                    <w:t>y</w:t>
                  </w:r>
                  <w:r w:rsidRPr="007823AD">
                    <w:rPr>
                      <w:rFonts w:ascii="Calibri" w:hAnsi="Calibri"/>
                      <w:i/>
                      <w:iCs/>
                      <w:color w:val="1F497D"/>
                      <w:sz w:val="22"/>
                      <w:szCs w:val="28"/>
                    </w:rPr>
                    <w:t xml:space="preserve"> Ekonomicznej</w:t>
                  </w:r>
                  <w:r>
                    <w:rPr>
                      <w:rFonts w:ascii="Calibri" w:hAnsi="Calibri"/>
                      <w:i/>
                      <w:iCs/>
                      <w:color w:val="1F497D"/>
                      <w:sz w:val="22"/>
                      <w:szCs w:val="28"/>
                    </w:rPr>
                    <w:t xml:space="preserve"> działa wiele przedsiębiorstw, w tym dużych, takich jak np.: </w:t>
                  </w:r>
                  <w:r w:rsidRPr="00BC7567">
                    <w:rPr>
                      <w:rFonts w:ascii="Calibri" w:hAnsi="Calibri"/>
                      <w:i/>
                      <w:iCs/>
                      <w:color w:val="1F497D"/>
                      <w:sz w:val="22"/>
                      <w:szCs w:val="28"/>
                    </w:rPr>
                    <w:t>Gedia Poland Sp. z o.o.</w:t>
                  </w:r>
                  <w:r>
                    <w:rPr>
                      <w:rFonts w:ascii="Calibri" w:hAnsi="Calibri"/>
                      <w:i/>
                      <w:iCs/>
                      <w:color w:val="1F497D"/>
                      <w:sz w:val="22"/>
                      <w:szCs w:val="28"/>
                    </w:rPr>
                    <w:t xml:space="preserve">, </w:t>
                  </w:r>
                  <w:r w:rsidRPr="00BC7567">
                    <w:rPr>
                      <w:rFonts w:ascii="Calibri" w:hAnsi="Calibri"/>
                      <w:i/>
                      <w:iCs/>
                      <w:color w:val="1F497D"/>
                      <w:sz w:val="22"/>
                      <w:szCs w:val="28"/>
                    </w:rPr>
                    <w:t>CSM Polska Sp. z o.o.</w:t>
                  </w:r>
                  <w:r>
                    <w:rPr>
                      <w:rFonts w:ascii="Calibri" w:hAnsi="Calibri"/>
                      <w:i/>
                      <w:iCs/>
                      <w:color w:val="1F497D"/>
                      <w:sz w:val="22"/>
                      <w:szCs w:val="28"/>
                    </w:rPr>
                    <w:t xml:space="preserve">, </w:t>
                  </w:r>
                  <w:r w:rsidRPr="00BC7567">
                    <w:rPr>
                      <w:rFonts w:ascii="Calibri" w:hAnsi="Calibri"/>
                      <w:i/>
                      <w:iCs/>
                      <w:color w:val="1F497D"/>
                      <w:sz w:val="22"/>
                      <w:szCs w:val="28"/>
                    </w:rPr>
                    <w:t>Zakłady Jajczarskie "OVOPOL" Sp. z o.o.</w:t>
                  </w:r>
                  <w:r>
                    <w:rPr>
                      <w:rFonts w:ascii="Calibri" w:hAnsi="Calibri"/>
                      <w:i/>
                      <w:iCs/>
                      <w:color w:val="1F497D"/>
                      <w:sz w:val="22"/>
                      <w:szCs w:val="28"/>
                    </w:rPr>
                    <w:t xml:space="preserve"> czy </w:t>
                  </w:r>
                  <w:r w:rsidRPr="00BC7567">
                    <w:rPr>
                      <w:rFonts w:ascii="Calibri" w:hAnsi="Calibri"/>
                      <w:i/>
                      <w:iCs/>
                      <w:color w:val="1F497D"/>
                      <w:sz w:val="22"/>
                      <w:szCs w:val="28"/>
                    </w:rPr>
                    <w:t>AB Foods Polska</w:t>
                  </w:r>
                  <w:r>
                    <w:rPr>
                      <w:rFonts w:ascii="Calibri" w:hAnsi="Calibri"/>
                      <w:i/>
                      <w:iCs/>
                      <w:color w:val="1F497D"/>
                      <w:sz w:val="22"/>
                      <w:szCs w:val="28"/>
                    </w:rPr>
                    <w:t>.</w:t>
                  </w:r>
                </w:p>
                <w:p w:rsidR="00D24064" w:rsidRPr="00EC0E96" w:rsidRDefault="00D24064" w:rsidP="0034292D">
                  <w:pPr>
                    <w:jc w:val="both"/>
                    <w:rPr>
                      <w:rFonts w:ascii="Calibri" w:hAnsi="Calibri"/>
                      <w:i/>
                      <w:iCs/>
                      <w:color w:val="1F497D"/>
                      <w:sz w:val="22"/>
                      <w:szCs w:val="28"/>
                    </w:rPr>
                  </w:pPr>
                  <w:r w:rsidRPr="00EC0E96">
                    <w:rPr>
                      <w:rFonts w:ascii="Calibri" w:hAnsi="Calibri"/>
                      <w:i/>
                      <w:iCs/>
                      <w:color w:val="1F497D"/>
                      <w:sz w:val="22"/>
                      <w:szCs w:val="28"/>
                    </w:rPr>
                    <w:t>Stosunkowo niski poziom przedsiębiorczości odzwierciedla niższa niż w przeciętnie w województwie lubuskim</w:t>
                  </w:r>
                  <w:r>
                    <w:rPr>
                      <w:rFonts w:ascii="Calibri" w:hAnsi="Calibri"/>
                      <w:i/>
                      <w:iCs/>
                      <w:color w:val="1F497D"/>
                      <w:sz w:val="22"/>
                      <w:szCs w:val="28"/>
                    </w:rPr>
                    <w:t>,</w:t>
                  </w:r>
                  <w:r w:rsidRPr="00EC0E96">
                    <w:rPr>
                      <w:rFonts w:ascii="Calibri" w:hAnsi="Calibri"/>
                      <w:i/>
                      <w:iCs/>
                      <w:color w:val="1F497D"/>
                      <w:sz w:val="22"/>
                      <w:szCs w:val="28"/>
                    </w:rPr>
                    <w:t xml:space="preserve"> czy w Polsce liczba podmiotów przypadająca na 10 tys. mieszkańców miasta.</w:t>
                  </w:r>
                </w:p>
              </w:txbxContent>
            </v:textbox>
            <w10:wrap type="none" anchorx="margin" anchory="page"/>
            <w10:anchorlock/>
          </v:rect>
        </w:pict>
      </w:r>
    </w:p>
    <w:p w:rsidR="001C3901" w:rsidRPr="00662F03" w:rsidRDefault="001C3901" w:rsidP="00A56F0E">
      <w:pPr>
        <w:shd w:val="clear" w:color="auto" w:fill="FFFFFF"/>
        <w:spacing w:before="150" w:after="75"/>
        <w:jc w:val="both"/>
        <w:outlineLvl w:val="3"/>
        <w:rPr>
          <w:rFonts w:ascii="Calibri" w:hAnsi="Calibri" w:cs="Tahoma"/>
          <w:sz w:val="22"/>
          <w:szCs w:val="22"/>
        </w:rPr>
      </w:pPr>
    </w:p>
    <w:p w:rsidR="003451FE" w:rsidRPr="00662F03" w:rsidRDefault="002934ED" w:rsidP="007F5FC1">
      <w:pPr>
        <w:pStyle w:val="Nagwek2"/>
        <w:numPr>
          <w:ilvl w:val="1"/>
          <w:numId w:val="1"/>
        </w:numPr>
        <w:spacing w:line="240" w:lineRule="auto"/>
        <w:rPr>
          <w:rFonts w:ascii="Calibri" w:hAnsi="Calibri"/>
          <w:color w:val="17365D"/>
          <w:sz w:val="22"/>
          <w:szCs w:val="22"/>
        </w:rPr>
      </w:pPr>
      <w:bookmarkStart w:id="64" w:name="_Toc316395262"/>
      <w:r w:rsidRPr="00662F03">
        <w:rPr>
          <w:rFonts w:ascii="Calibri" w:hAnsi="Calibri"/>
          <w:color w:val="17365D"/>
          <w:sz w:val="22"/>
          <w:szCs w:val="22"/>
        </w:rPr>
        <w:t>Gospodarka mieszkaniowa</w:t>
      </w:r>
      <w:bookmarkEnd w:id="64"/>
    </w:p>
    <w:p w:rsidR="00387336" w:rsidRPr="00662F03" w:rsidRDefault="0038733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Warunki zamieszkania na terenie miasta są uzależnione od wieku i standardu zabudowy.</w:t>
      </w:r>
      <w:r w:rsidR="004F17B1" w:rsidRPr="00662F03">
        <w:rPr>
          <w:rFonts w:ascii="Calibri" w:hAnsi="Calibri" w:cs="Tahoma"/>
          <w:sz w:val="22"/>
          <w:szCs w:val="22"/>
        </w:rPr>
        <w:t xml:space="preserve"> Na podstawie wyników badań z powszechnego spisu ludności w 2002 roku można obliczyć, że spośród 14889 mieszkań zlokalizowanych na terenie miasta </w:t>
      </w:r>
      <w:r w:rsidR="00F73B71" w:rsidRPr="00662F03">
        <w:rPr>
          <w:rFonts w:ascii="Calibri" w:hAnsi="Calibri" w:cs="Tahoma"/>
          <w:sz w:val="22"/>
          <w:szCs w:val="22"/>
        </w:rPr>
        <w:t xml:space="preserve">⅓ </w:t>
      </w:r>
      <w:r w:rsidR="004F17B1" w:rsidRPr="00662F03">
        <w:rPr>
          <w:rFonts w:ascii="Calibri" w:hAnsi="Calibri" w:cs="Tahoma"/>
          <w:sz w:val="22"/>
          <w:szCs w:val="22"/>
        </w:rPr>
        <w:t xml:space="preserve">wybudowano przed 1945 rokiem, z czego </w:t>
      </w:r>
      <w:r w:rsidR="00F73B71" w:rsidRPr="00662F03">
        <w:rPr>
          <w:rFonts w:ascii="Calibri" w:hAnsi="Calibri" w:cs="Tahoma"/>
          <w:sz w:val="22"/>
          <w:szCs w:val="22"/>
        </w:rPr>
        <w:t>ponad połowa</w:t>
      </w:r>
      <w:r w:rsidR="004F17B1" w:rsidRPr="00662F03">
        <w:rPr>
          <w:rFonts w:ascii="Calibri" w:hAnsi="Calibri" w:cs="Tahoma"/>
          <w:sz w:val="22"/>
          <w:szCs w:val="22"/>
        </w:rPr>
        <w:t xml:space="preserve"> powstało przed 1918 rokiem. Większość z nich wymaga kapitalnych remontów.</w:t>
      </w:r>
      <w:r w:rsidR="006475E6" w:rsidRPr="00662F03">
        <w:rPr>
          <w:rFonts w:ascii="Calibri" w:hAnsi="Calibri" w:cs="Tahoma"/>
          <w:sz w:val="22"/>
          <w:szCs w:val="22"/>
        </w:rPr>
        <w:t xml:space="preserve"> Zabudowa centrum Nowej Soli w większości obejmuje budynki wybudowane przed 1989 rokiem. Obiekty znajdujące się przy głównej ulicy i deptaku przy pl. Wyzwolenia częściowo zostały odnowione. W latach wcześniejszych dokonano także odnowy i ponownego zagospodarowania Basenu Portowego. Dodatkowo wzmocniono wały przeciwpowodziowe. Na terenie części osiedli mieszkaniowych rozpoczęte są prace związane z termoizolacją budynków i mieszkań.</w:t>
      </w:r>
    </w:p>
    <w:p w:rsidR="009D2524" w:rsidRPr="00662F03" w:rsidRDefault="009D2524"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Zabudowa mieszkaniowa o wysokiej intensywności zlokalizowana jest w centralnej i zachodniej części miasta (osiedla: XXX-lecia i Konstytucji 3 Maja). Są to modernistyczne bloki, powstałe w latach 70- i 80-tych XX wieku. Jednorodzinna zabudowa mieszkaniowa zlokalizowana jest przeważnie na południowych, zachodnich i północnych krańcach terenów zainwestowania miejskiego.</w:t>
      </w:r>
    </w:p>
    <w:p w:rsidR="00856BD1" w:rsidRPr="00662F03" w:rsidRDefault="00466982"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2009 r. na terenie Nowej Soli oddano do użytkowania 118 mieszkań, (w tym 49 indywidualnych), co stanowiło</w:t>
      </w:r>
      <w:r w:rsidR="008E4659" w:rsidRPr="00662F03">
        <w:rPr>
          <w:rFonts w:ascii="Calibri" w:hAnsi="Calibri" w:cs="Tahoma"/>
          <w:sz w:val="22"/>
          <w:szCs w:val="22"/>
        </w:rPr>
        <w:t xml:space="preserve"> 45% mieszkań oddanych do użytkowania w powiecie nowosolskim. W porównaniu do 2003 roku w Nowej Soli przybyło </w:t>
      </w:r>
      <w:r w:rsidR="00752000" w:rsidRPr="00662F03">
        <w:rPr>
          <w:rFonts w:ascii="Calibri" w:hAnsi="Calibri" w:cs="Tahoma"/>
          <w:sz w:val="22"/>
          <w:szCs w:val="22"/>
        </w:rPr>
        <w:t>prawie 400</w:t>
      </w:r>
      <w:r w:rsidR="008E4659" w:rsidRPr="00662F03">
        <w:rPr>
          <w:rFonts w:ascii="Calibri" w:hAnsi="Calibri" w:cs="Tahoma"/>
          <w:sz w:val="22"/>
          <w:szCs w:val="22"/>
        </w:rPr>
        <w:t xml:space="preserve"> mieszkań. </w:t>
      </w:r>
      <w:r w:rsidRPr="00662F03">
        <w:rPr>
          <w:rFonts w:ascii="Calibri" w:hAnsi="Calibri" w:cs="Tahoma"/>
          <w:sz w:val="22"/>
          <w:szCs w:val="22"/>
        </w:rPr>
        <w:t xml:space="preserve">W gminach powiatu </w:t>
      </w:r>
      <w:r w:rsidR="008E4659" w:rsidRPr="00662F03">
        <w:rPr>
          <w:rFonts w:ascii="Calibri" w:hAnsi="Calibri" w:cs="Tahoma"/>
          <w:sz w:val="22"/>
          <w:szCs w:val="22"/>
        </w:rPr>
        <w:t xml:space="preserve">nowosolskiego </w:t>
      </w:r>
      <w:r w:rsidRPr="00662F03">
        <w:rPr>
          <w:rFonts w:ascii="Calibri" w:hAnsi="Calibri" w:cs="Tahoma"/>
          <w:sz w:val="22"/>
          <w:szCs w:val="22"/>
        </w:rPr>
        <w:t>dominuje budownictwo</w:t>
      </w:r>
      <w:r w:rsidR="008E4659" w:rsidRPr="00662F03">
        <w:rPr>
          <w:rFonts w:ascii="Calibri" w:hAnsi="Calibri" w:cs="Tahoma"/>
          <w:sz w:val="22"/>
          <w:szCs w:val="22"/>
        </w:rPr>
        <w:t xml:space="preserve"> </w:t>
      </w:r>
      <w:r w:rsidRPr="00662F03">
        <w:rPr>
          <w:rFonts w:ascii="Calibri" w:hAnsi="Calibri" w:cs="Tahoma"/>
          <w:sz w:val="22"/>
          <w:szCs w:val="22"/>
        </w:rPr>
        <w:t>inwestorów indywidualnych.</w:t>
      </w:r>
    </w:p>
    <w:p w:rsidR="00053BA3" w:rsidRPr="00662F03" w:rsidRDefault="008E465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Liczba oddanych </w:t>
      </w:r>
      <w:r w:rsidR="006F4163" w:rsidRPr="00662F03">
        <w:rPr>
          <w:rFonts w:ascii="Calibri" w:hAnsi="Calibri" w:cs="Tahoma"/>
          <w:sz w:val="22"/>
          <w:szCs w:val="22"/>
        </w:rPr>
        <w:t>mieszkań</w:t>
      </w:r>
      <w:r w:rsidRPr="00662F03">
        <w:rPr>
          <w:rFonts w:ascii="Calibri" w:hAnsi="Calibri" w:cs="Tahoma"/>
          <w:sz w:val="22"/>
          <w:szCs w:val="22"/>
        </w:rPr>
        <w:t xml:space="preserve"> w przeliczeniu na 1000 zawartych </w:t>
      </w:r>
      <w:r w:rsidR="006F4163" w:rsidRPr="00662F03">
        <w:rPr>
          <w:rFonts w:ascii="Calibri" w:hAnsi="Calibri" w:cs="Tahoma"/>
          <w:sz w:val="22"/>
          <w:szCs w:val="22"/>
        </w:rPr>
        <w:t xml:space="preserve">małżeństw </w:t>
      </w:r>
      <w:r w:rsidR="00466982" w:rsidRPr="00662F03">
        <w:rPr>
          <w:rFonts w:ascii="Calibri" w:hAnsi="Calibri" w:cs="Tahoma"/>
          <w:sz w:val="22"/>
          <w:szCs w:val="22"/>
        </w:rPr>
        <w:t xml:space="preserve">jest dla </w:t>
      </w:r>
      <w:r w:rsidR="006F4163" w:rsidRPr="00662F03">
        <w:rPr>
          <w:rFonts w:ascii="Calibri" w:hAnsi="Calibri" w:cs="Tahoma"/>
          <w:sz w:val="22"/>
          <w:szCs w:val="22"/>
        </w:rPr>
        <w:t xml:space="preserve">Nowej Soli (411) mniej korzystna niż średnia dla </w:t>
      </w:r>
      <w:r w:rsidR="00466982" w:rsidRPr="00662F03">
        <w:rPr>
          <w:rFonts w:ascii="Calibri" w:hAnsi="Calibri" w:cs="Tahoma"/>
          <w:sz w:val="22"/>
          <w:szCs w:val="22"/>
        </w:rPr>
        <w:t xml:space="preserve">powiatu </w:t>
      </w:r>
      <w:r w:rsidR="006F4163" w:rsidRPr="00662F03">
        <w:rPr>
          <w:rFonts w:ascii="Calibri" w:hAnsi="Calibri" w:cs="Tahoma"/>
          <w:sz w:val="22"/>
          <w:szCs w:val="22"/>
        </w:rPr>
        <w:t>(433)</w:t>
      </w:r>
      <w:r w:rsidR="00592BF7" w:rsidRPr="00662F03">
        <w:rPr>
          <w:rFonts w:ascii="Calibri" w:hAnsi="Calibri" w:cs="Tahoma"/>
          <w:sz w:val="22"/>
          <w:szCs w:val="22"/>
        </w:rPr>
        <w:t xml:space="preserve"> oraz województwa (</w:t>
      </w:r>
      <w:r w:rsidR="00752000" w:rsidRPr="00662F03">
        <w:rPr>
          <w:rFonts w:ascii="Calibri" w:hAnsi="Calibri" w:cs="Tahoma"/>
          <w:sz w:val="22"/>
          <w:szCs w:val="22"/>
        </w:rPr>
        <w:t>563</w:t>
      </w:r>
      <w:r w:rsidR="00592BF7" w:rsidRPr="00662F03">
        <w:rPr>
          <w:rFonts w:ascii="Calibri" w:hAnsi="Calibri" w:cs="Tahoma"/>
          <w:sz w:val="22"/>
          <w:szCs w:val="22"/>
        </w:rPr>
        <w:t>)</w:t>
      </w:r>
      <w:r w:rsidR="00466982" w:rsidRPr="00662F03">
        <w:rPr>
          <w:rFonts w:ascii="Calibri" w:hAnsi="Calibri" w:cs="Tahoma"/>
          <w:sz w:val="22"/>
          <w:szCs w:val="22"/>
        </w:rPr>
        <w:t>. Podobnie mniej korzystnie ni</w:t>
      </w:r>
      <w:r w:rsidR="00D364C9" w:rsidRPr="00662F03">
        <w:rPr>
          <w:rFonts w:ascii="Calibri" w:hAnsi="Calibri" w:cs="Tahoma"/>
          <w:sz w:val="22"/>
          <w:szCs w:val="22"/>
        </w:rPr>
        <w:t>ż</w:t>
      </w:r>
      <w:r w:rsidR="00466982" w:rsidRPr="00662F03">
        <w:rPr>
          <w:rFonts w:ascii="Calibri" w:hAnsi="Calibri" w:cs="Tahoma"/>
          <w:sz w:val="22"/>
          <w:szCs w:val="22"/>
        </w:rPr>
        <w:t xml:space="preserve"> w województwie </w:t>
      </w:r>
      <w:r w:rsidR="00752000" w:rsidRPr="00662F03">
        <w:rPr>
          <w:rFonts w:ascii="Calibri" w:hAnsi="Calibri" w:cs="Tahoma"/>
          <w:sz w:val="22"/>
          <w:szCs w:val="22"/>
        </w:rPr>
        <w:t>(3,7</w:t>
      </w:r>
      <w:r w:rsidR="00D364C9" w:rsidRPr="00662F03">
        <w:rPr>
          <w:rFonts w:ascii="Calibri" w:hAnsi="Calibri" w:cs="Tahoma"/>
          <w:sz w:val="22"/>
          <w:szCs w:val="22"/>
        </w:rPr>
        <w:t>) kształtuje</w:t>
      </w:r>
      <w:r w:rsidR="00466982" w:rsidRPr="00662F03">
        <w:rPr>
          <w:rFonts w:ascii="Calibri" w:hAnsi="Calibri" w:cs="Tahoma"/>
          <w:sz w:val="22"/>
          <w:szCs w:val="22"/>
        </w:rPr>
        <w:t xml:space="preserve"> si</w:t>
      </w:r>
      <w:r w:rsidR="00D364C9" w:rsidRPr="00662F03">
        <w:rPr>
          <w:rFonts w:ascii="Calibri" w:hAnsi="Calibri" w:cs="Tahoma"/>
          <w:sz w:val="22"/>
          <w:szCs w:val="22"/>
        </w:rPr>
        <w:t>ę</w:t>
      </w:r>
      <w:r w:rsidR="00466982" w:rsidRPr="00662F03">
        <w:rPr>
          <w:rFonts w:ascii="Calibri" w:hAnsi="Calibri" w:cs="Tahoma"/>
          <w:sz w:val="22"/>
          <w:szCs w:val="22"/>
        </w:rPr>
        <w:t xml:space="preserve"> </w:t>
      </w:r>
      <w:r w:rsidR="00D364C9" w:rsidRPr="00662F03">
        <w:rPr>
          <w:rFonts w:ascii="Calibri" w:hAnsi="Calibri" w:cs="Tahoma"/>
          <w:sz w:val="22"/>
          <w:szCs w:val="22"/>
        </w:rPr>
        <w:t xml:space="preserve">w Nowej Soli (2,9) </w:t>
      </w:r>
      <w:r w:rsidR="00466982" w:rsidRPr="00662F03">
        <w:rPr>
          <w:rFonts w:ascii="Calibri" w:hAnsi="Calibri" w:cs="Tahoma"/>
          <w:sz w:val="22"/>
          <w:szCs w:val="22"/>
        </w:rPr>
        <w:t>liczba</w:t>
      </w:r>
      <w:r w:rsidR="00D364C9" w:rsidRPr="00662F03">
        <w:rPr>
          <w:rFonts w:ascii="Calibri" w:hAnsi="Calibri" w:cs="Tahoma"/>
          <w:sz w:val="22"/>
          <w:szCs w:val="22"/>
        </w:rPr>
        <w:t xml:space="preserve"> </w:t>
      </w:r>
      <w:r w:rsidR="00466982" w:rsidRPr="00662F03">
        <w:rPr>
          <w:rFonts w:ascii="Calibri" w:hAnsi="Calibri" w:cs="Tahoma"/>
          <w:sz w:val="22"/>
          <w:szCs w:val="22"/>
        </w:rPr>
        <w:t xml:space="preserve">oddanych do </w:t>
      </w:r>
      <w:r w:rsidR="00D364C9" w:rsidRPr="00662F03">
        <w:rPr>
          <w:rFonts w:ascii="Calibri" w:hAnsi="Calibri" w:cs="Tahoma"/>
          <w:sz w:val="22"/>
          <w:szCs w:val="22"/>
        </w:rPr>
        <w:t>użytkowania</w:t>
      </w:r>
      <w:r w:rsidR="00466982" w:rsidRPr="00662F03">
        <w:rPr>
          <w:rFonts w:ascii="Calibri" w:hAnsi="Calibri" w:cs="Tahoma"/>
          <w:sz w:val="22"/>
          <w:szCs w:val="22"/>
        </w:rPr>
        <w:t xml:space="preserve"> </w:t>
      </w:r>
      <w:r w:rsidR="00D364C9" w:rsidRPr="00662F03">
        <w:rPr>
          <w:rFonts w:ascii="Calibri" w:hAnsi="Calibri" w:cs="Tahoma"/>
          <w:sz w:val="22"/>
          <w:szCs w:val="22"/>
        </w:rPr>
        <w:t>mieszkań</w:t>
      </w:r>
      <w:r w:rsidR="00466982" w:rsidRPr="00662F03">
        <w:rPr>
          <w:rFonts w:ascii="Calibri" w:hAnsi="Calibri" w:cs="Tahoma"/>
          <w:sz w:val="22"/>
          <w:szCs w:val="22"/>
        </w:rPr>
        <w:t xml:space="preserve"> w przeliczeniu na 1000 ludno</w:t>
      </w:r>
      <w:r w:rsidR="00D364C9" w:rsidRPr="00662F03">
        <w:rPr>
          <w:rFonts w:ascii="Calibri" w:hAnsi="Calibri" w:cs="Tahoma"/>
          <w:sz w:val="22"/>
          <w:szCs w:val="22"/>
        </w:rPr>
        <w:t>ś</w:t>
      </w:r>
      <w:r w:rsidR="00466982" w:rsidRPr="00662F03">
        <w:rPr>
          <w:rFonts w:ascii="Calibri" w:hAnsi="Calibri" w:cs="Tahoma"/>
          <w:sz w:val="22"/>
          <w:szCs w:val="22"/>
        </w:rPr>
        <w:t>ci.</w:t>
      </w:r>
      <w:r w:rsidR="00D364C9" w:rsidRPr="00662F03">
        <w:rPr>
          <w:rFonts w:ascii="Calibri" w:hAnsi="Calibri" w:cs="Tahoma"/>
          <w:sz w:val="22"/>
          <w:szCs w:val="22"/>
        </w:rPr>
        <w:t xml:space="preserve"> </w:t>
      </w:r>
      <w:r w:rsidR="00466982" w:rsidRPr="00662F03">
        <w:rPr>
          <w:rFonts w:ascii="Calibri" w:hAnsi="Calibri" w:cs="Tahoma"/>
          <w:sz w:val="22"/>
          <w:szCs w:val="22"/>
        </w:rPr>
        <w:t xml:space="preserve">Dla powiatu w 2009 r. </w:t>
      </w:r>
      <w:r w:rsidR="00D364C9" w:rsidRPr="00662F03">
        <w:rPr>
          <w:rFonts w:ascii="Calibri" w:hAnsi="Calibri" w:cs="Tahoma"/>
          <w:sz w:val="22"/>
          <w:szCs w:val="22"/>
        </w:rPr>
        <w:t xml:space="preserve">wyniosła ona </w:t>
      </w:r>
      <w:r w:rsidR="00752000" w:rsidRPr="00662F03">
        <w:rPr>
          <w:rFonts w:ascii="Calibri" w:hAnsi="Calibri" w:cs="Tahoma"/>
          <w:sz w:val="22"/>
          <w:szCs w:val="22"/>
        </w:rPr>
        <w:t>3</w:t>
      </w:r>
      <w:r w:rsidR="00D364C9" w:rsidRPr="00662F03">
        <w:rPr>
          <w:rFonts w:ascii="Calibri" w:hAnsi="Calibri" w:cs="Tahoma"/>
          <w:sz w:val="22"/>
          <w:szCs w:val="22"/>
        </w:rPr>
        <w:t>. Przeciętna</w:t>
      </w:r>
      <w:r w:rsidR="00466982" w:rsidRPr="00662F03">
        <w:rPr>
          <w:rFonts w:ascii="Calibri" w:hAnsi="Calibri" w:cs="Tahoma"/>
          <w:sz w:val="22"/>
          <w:szCs w:val="22"/>
        </w:rPr>
        <w:t xml:space="preserve"> powierzchnia </w:t>
      </w:r>
      <w:r w:rsidR="00D364C9" w:rsidRPr="00662F03">
        <w:rPr>
          <w:rFonts w:ascii="Calibri" w:hAnsi="Calibri" w:cs="Tahoma"/>
          <w:sz w:val="22"/>
          <w:szCs w:val="22"/>
        </w:rPr>
        <w:t>użytkowa</w:t>
      </w:r>
      <w:r w:rsidR="00466982" w:rsidRPr="00662F03">
        <w:rPr>
          <w:rFonts w:ascii="Calibri" w:hAnsi="Calibri" w:cs="Tahoma"/>
          <w:sz w:val="22"/>
          <w:szCs w:val="22"/>
        </w:rPr>
        <w:t xml:space="preserve"> 1 mieszkania oddanego do</w:t>
      </w:r>
      <w:r w:rsidR="00D364C9" w:rsidRPr="00662F03">
        <w:rPr>
          <w:rFonts w:ascii="Calibri" w:hAnsi="Calibri" w:cs="Tahoma"/>
          <w:sz w:val="22"/>
          <w:szCs w:val="22"/>
        </w:rPr>
        <w:t xml:space="preserve"> użytkowania</w:t>
      </w:r>
      <w:r w:rsidR="00466982" w:rsidRPr="00662F03">
        <w:rPr>
          <w:rFonts w:ascii="Calibri" w:hAnsi="Calibri" w:cs="Tahoma"/>
          <w:sz w:val="22"/>
          <w:szCs w:val="22"/>
        </w:rPr>
        <w:t xml:space="preserve"> </w:t>
      </w:r>
      <w:r w:rsidR="00D364C9" w:rsidRPr="00662F03">
        <w:rPr>
          <w:rFonts w:ascii="Calibri" w:hAnsi="Calibri" w:cs="Tahoma"/>
          <w:sz w:val="22"/>
          <w:szCs w:val="22"/>
        </w:rPr>
        <w:t xml:space="preserve">wyniosła </w:t>
      </w:r>
      <w:r w:rsidR="00752000" w:rsidRPr="00662F03">
        <w:rPr>
          <w:rFonts w:ascii="Calibri" w:hAnsi="Calibri" w:cs="Tahoma"/>
          <w:sz w:val="22"/>
          <w:szCs w:val="22"/>
        </w:rPr>
        <w:t>prawie 80</w:t>
      </w:r>
      <w:r w:rsidR="00D364C9" w:rsidRPr="00662F03">
        <w:rPr>
          <w:rFonts w:ascii="Calibri" w:hAnsi="Calibri" w:cs="Tahoma"/>
          <w:sz w:val="22"/>
          <w:szCs w:val="22"/>
        </w:rPr>
        <w:t xml:space="preserve"> m</w:t>
      </w:r>
      <w:r w:rsidR="00D364C9" w:rsidRPr="00662F03">
        <w:rPr>
          <w:rFonts w:ascii="Calibri" w:hAnsi="Calibri" w:cs="Tahoma"/>
          <w:sz w:val="22"/>
          <w:szCs w:val="22"/>
          <w:vertAlign w:val="superscript"/>
        </w:rPr>
        <w:t>2</w:t>
      </w:r>
      <w:r w:rsidR="00D364C9" w:rsidRPr="00662F03">
        <w:rPr>
          <w:rFonts w:ascii="Calibri" w:hAnsi="Calibri" w:cs="Tahoma"/>
          <w:sz w:val="22"/>
          <w:szCs w:val="22"/>
        </w:rPr>
        <w:t xml:space="preserve">, </w:t>
      </w:r>
      <w:r w:rsidR="009A0A46" w:rsidRPr="00662F03">
        <w:rPr>
          <w:rFonts w:ascii="Calibri" w:hAnsi="Calibri" w:cs="Tahoma"/>
          <w:sz w:val="22"/>
          <w:szCs w:val="22"/>
        </w:rPr>
        <w:t xml:space="preserve">była </w:t>
      </w:r>
      <w:r w:rsidR="006537B8" w:rsidRPr="00662F03">
        <w:rPr>
          <w:rFonts w:ascii="Calibri" w:hAnsi="Calibri" w:cs="Tahoma"/>
          <w:sz w:val="22"/>
          <w:szCs w:val="22"/>
        </w:rPr>
        <w:t xml:space="preserve">o </w:t>
      </w:r>
      <w:r w:rsidR="00752000" w:rsidRPr="00662F03">
        <w:rPr>
          <w:rFonts w:ascii="Calibri" w:hAnsi="Calibri" w:cs="Tahoma"/>
          <w:sz w:val="22"/>
          <w:szCs w:val="22"/>
        </w:rPr>
        <w:t xml:space="preserve">⅕ </w:t>
      </w:r>
      <w:r w:rsidR="006537B8" w:rsidRPr="00662F03">
        <w:rPr>
          <w:rFonts w:ascii="Calibri" w:hAnsi="Calibri" w:cs="Tahoma"/>
          <w:sz w:val="22"/>
          <w:szCs w:val="22"/>
        </w:rPr>
        <w:t>mniejsza</w:t>
      </w:r>
      <w:r w:rsidR="009A0A46" w:rsidRPr="00662F03">
        <w:rPr>
          <w:rFonts w:ascii="Calibri" w:hAnsi="Calibri" w:cs="Tahoma"/>
          <w:sz w:val="22"/>
          <w:szCs w:val="22"/>
        </w:rPr>
        <w:t xml:space="preserve"> niż </w:t>
      </w:r>
      <w:r w:rsidR="008624A3">
        <w:rPr>
          <w:rFonts w:ascii="Calibri" w:hAnsi="Calibri" w:cs="Tahoma"/>
          <w:sz w:val="22"/>
          <w:szCs w:val="22"/>
        </w:rPr>
        <w:t>średnia</w:t>
      </w:r>
      <w:r w:rsidR="009A0A46" w:rsidRPr="00662F03">
        <w:rPr>
          <w:rFonts w:ascii="Calibri" w:hAnsi="Calibri" w:cs="Tahoma"/>
          <w:sz w:val="22"/>
          <w:szCs w:val="22"/>
        </w:rPr>
        <w:t xml:space="preserve"> dla powiatu i województwa, która</w:t>
      </w:r>
      <w:r w:rsidR="00D364C9" w:rsidRPr="00662F03">
        <w:rPr>
          <w:rFonts w:ascii="Calibri" w:hAnsi="Calibri" w:cs="Tahoma"/>
          <w:sz w:val="22"/>
          <w:szCs w:val="22"/>
        </w:rPr>
        <w:t xml:space="preserve"> wyniosła</w:t>
      </w:r>
      <w:r w:rsidR="00466982" w:rsidRPr="00662F03">
        <w:rPr>
          <w:rFonts w:ascii="Calibri" w:hAnsi="Calibri" w:cs="Tahoma"/>
          <w:sz w:val="22"/>
          <w:szCs w:val="22"/>
        </w:rPr>
        <w:t xml:space="preserve"> w 2009 r. </w:t>
      </w:r>
      <w:r w:rsidR="00752000" w:rsidRPr="00662F03">
        <w:rPr>
          <w:rFonts w:ascii="Calibri" w:hAnsi="Calibri" w:cs="Tahoma"/>
          <w:sz w:val="22"/>
          <w:szCs w:val="22"/>
        </w:rPr>
        <w:t xml:space="preserve">około </w:t>
      </w:r>
      <w:r w:rsidR="009A0A46" w:rsidRPr="00662F03">
        <w:rPr>
          <w:rFonts w:ascii="Calibri" w:hAnsi="Calibri" w:cs="Tahoma"/>
          <w:sz w:val="22"/>
          <w:szCs w:val="22"/>
        </w:rPr>
        <w:t>99 m</w:t>
      </w:r>
      <w:r w:rsidR="009A0A46" w:rsidRPr="00662F03">
        <w:rPr>
          <w:rFonts w:ascii="Calibri" w:hAnsi="Calibri" w:cs="Tahoma"/>
          <w:sz w:val="22"/>
          <w:szCs w:val="22"/>
          <w:vertAlign w:val="superscript"/>
        </w:rPr>
        <w:t>2</w:t>
      </w:r>
      <w:r w:rsidR="00466982" w:rsidRPr="00662F03">
        <w:rPr>
          <w:rFonts w:ascii="Calibri" w:hAnsi="Calibri" w:cs="Tahoma"/>
          <w:sz w:val="22"/>
          <w:szCs w:val="22"/>
        </w:rPr>
        <w:t>.</w:t>
      </w:r>
      <w:r w:rsidR="00FA229E" w:rsidRPr="00662F03">
        <w:rPr>
          <w:rFonts w:ascii="Calibri" w:hAnsi="Calibri" w:cs="Tahoma"/>
          <w:sz w:val="22"/>
          <w:szCs w:val="22"/>
        </w:rPr>
        <w:t xml:space="preserve"> </w:t>
      </w:r>
      <w:r w:rsidR="00466982" w:rsidRPr="00662F03">
        <w:rPr>
          <w:rFonts w:ascii="Calibri" w:hAnsi="Calibri" w:cs="Tahoma"/>
          <w:sz w:val="22"/>
          <w:szCs w:val="22"/>
        </w:rPr>
        <w:t>Ka</w:t>
      </w:r>
      <w:r w:rsidR="006537B8" w:rsidRPr="00662F03">
        <w:rPr>
          <w:rFonts w:ascii="Calibri" w:hAnsi="Calibri" w:cs="Tahoma"/>
          <w:sz w:val="22"/>
          <w:szCs w:val="22"/>
        </w:rPr>
        <w:t>ż</w:t>
      </w:r>
      <w:r w:rsidR="00466982" w:rsidRPr="00662F03">
        <w:rPr>
          <w:rFonts w:ascii="Calibri" w:hAnsi="Calibri" w:cs="Tahoma"/>
          <w:sz w:val="22"/>
          <w:szCs w:val="22"/>
        </w:rPr>
        <w:t xml:space="preserve">de mieszkanie oddane do </w:t>
      </w:r>
      <w:r w:rsidR="006537B8" w:rsidRPr="00662F03">
        <w:rPr>
          <w:rFonts w:ascii="Calibri" w:hAnsi="Calibri" w:cs="Tahoma"/>
          <w:sz w:val="22"/>
          <w:szCs w:val="22"/>
        </w:rPr>
        <w:t>użytkowania</w:t>
      </w:r>
      <w:r w:rsidR="00466982" w:rsidRPr="00662F03">
        <w:rPr>
          <w:rFonts w:ascii="Calibri" w:hAnsi="Calibri" w:cs="Tahoma"/>
          <w:sz w:val="22"/>
          <w:szCs w:val="22"/>
        </w:rPr>
        <w:t xml:space="preserve"> w 2009 r. </w:t>
      </w:r>
      <w:r w:rsidR="00FA229E" w:rsidRPr="00662F03">
        <w:rPr>
          <w:rFonts w:ascii="Calibri" w:hAnsi="Calibri" w:cs="Tahoma"/>
          <w:sz w:val="22"/>
          <w:szCs w:val="22"/>
        </w:rPr>
        <w:t>w Nowej Soli składało się przeciętnie</w:t>
      </w:r>
      <w:r w:rsidR="00466982" w:rsidRPr="00662F03">
        <w:rPr>
          <w:rFonts w:ascii="Calibri" w:hAnsi="Calibri" w:cs="Tahoma"/>
          <w:sz w:val="22"/>
          <w:szCs w:val="22"/>
        </w:rPr>
        <w:t xml:space="preserve"> z </w:t>
      </w:r>
      <w:r w:rsidR="00752000" w:rsidRPr="00662F03">
        <w:rPr>
          <w:rFonts w:ascii="Calibri" w:hAnsi="Calibri" w:cs="Tahoma"/>
          <w:sz w:val="22"/>
          <w:szCs w:val="22"/>
        </w:rPr>
        <w:t>3-4</w:t>
      </w:r>
      <w:r w:rsidR="00466982" w:rsidRPr="00662F03">
        <w:rPr>
          <w:rFonts w:ascii="Calibri" w:hAnsi="Calibri" w:cs="Tahoma"/>
          <w:sz w:val="22"/>
          <w:szCs w:val="22"/>
        </w:rPr>
        <w:t xml:space="preserve"> izb. By</w:t>
      </w:r>
      <w:r w:rsidR="00FA229E" w:rsidRPr="00662F03">
        <w:rPr>
          <w:rFonts w:ascii="Calibri" w:hAnsi="Calibri" w:cs="Tahoma"/>
          <w:sz w:val="22"/>
          <w:szCs w:val="22"/>
        </w:rPr>
        <w:t>ł</w:t>
      </w:r>
      <w:r w:rsidR="00CC3AD0" w:rsidRPr="00662F03">
        <w:rPr>
          <w:rFonts w:ascii="Calibri" w:hAnsi="Calibri" w:cs="Tahoma"/>
          <w:sz w:val="22"/>
          <w:szCs w:val="22"/>
        </w:rPr>
        <w:t>a to najmniejsza przeciętna li</w:t>
      </w:r>
      <w:r w:rsidR="00752000" w:rsidRPr="00662F03">
        <w:rPr>
          <w:rFonts w:ascii="Calibri" w:hAnsi="Calibri" w:cs="Tahoma"/>
          <w:sz w:val="22"/>
          <w:szCs w:val="22"/>
        </w:rPr>
        <w:t>czba izb w powiecie nowosolskim</w:t>
      </w:r>
      <w:r w:rsidR="00466982" w:rsidRPr="00662F03">
        <w:rPr>
          <w:rFonts w:ascii="Calibri" w:hAnsi="Calibri" w:cs="Tahoma"/>
          <w:sz w:val="22"/>
          <w:szCs w:val="22"/>
        </w:rPr>
        <w:t>. Tendencja taka utrzymuje si</w:t>
      </w:r>
      <w:r w:rsidR="00CC3AD0" w:rsidRPr="00662F03">
        <w:rPr>
          <w:rFonts w:ascii="Calibri" w:hAnsi="Calibri" w:cs="Tahoma"/>
          <w:sz w:val="22"/>
          <w:szCs w:val="22"/>
        </w:rPr>
        <w:t>ę</w:t>
      </w:r>
      <w:r w:rsidR="00466982" w:rsidRPr="00662F03">
        <w:rPr>
          <w:rFonts w:ascii="Calibri" w:hAnsi="Calibri" w:cs="Tahoma"/>
          <w:sz w:val="22"/>
          <w:szCs w:val="22"/>
        </w:rPr>
        <w:t xml:space="preserve"> od kilku lat.</w:t>
      </w:r>
      <w:r w:rsidR="00CC3AD0" w:rsidRPr="00662F03">
        <w:rPr>
          <w:rFonts w:ascii="Calibri" w:hAnsi="Calibri" w:cs="Tahoma"/>
          <w:sz w:val="22"/>
          <w:szCs w:val="22"/>
        </w:rPr>
        <w:t xml:space="preserve"> Przeciętna</w:t>
      </w:r>
      <w:r w:rsidR="00466982" w:rsidRPr="00662F03">
        <w:rPr>
          <w:rFonts w:ascii="Calibri" w:hAnsi="Calibri" w:cs="Tahoma"/>
          <w:sz w:val="22"/>
          <w:szCs w:val="22"/>
        </w:rPr>
        <w:t xml:space="preserve"> izba mia</w:t>
      </w:r>
      <w:r w:rsidR="00CC3AD0" w:rsidRPr="00662F03">
        <w:rPr>
          <w:rFonts w:ascii="Calibri" w:hAnsi="Calibri" w:cs="Tahoma"/>
          <w:sz w:val="22"/>
          <w:szCs w:val="22"/>
        </w:rPr>
        <w:t>ł</w:t>
      </w:r>
      <w:r w:rsidR="00466982" w:rsidRPr="00662F03">
        <w:rPr>
          <w:rFonts w:ascii="Calibri" w:hAnsi="Calibri" w:cs="Tahoma"/>
          <w:sz w:val="22"/>
          <w:szCs w:val="22"/>
        </w:rPr>
        <w:t>a</w:t>
      </w:r>
      <w:r w:rsidR="00CC3AD0" w:rsidRPr="00662F03">
        <w:rPr>
          <w:rFonts w:ascii="Calibri" w:hAnsi="Calibri" w:cs="Tahoma"/>
          <w:sz w:val="22"/>
          <w:szCs w:val="22"/>
        </w:rPr>
        <w:t xml:space="preserve"> </w:t>
      </w:r>
      <w:r w:rsidR="00466982" w:rsidRPr="00662F03">
        <w:rPr>
          <w:rFonts w:ascii="Calibri" w:hAnsi="Calibri" w:cs="Tahoma"/>
          <w:sz w:val="22"/>
          <w:szCs w:val="22"/>
        </w:rPr>
        <w:t>2</w:t>
      </w:r>
      <w:r w:rsidR="00752000" w:rsidRPr="00662F03">
        <w:rPr>
          <w:rFonts w:ascii="Calibri" w:hAnsi="Calibri" w:cs="Tahoma"/>
          <w:sz w:val="22"/>
          <w:szCs w:val="22"/>
        </w:rPr>
        <w:t>2 </w:t>
      </w:r>
      <w:r w:rsidR="00466982" w:rsidRPr="00662F03">
        <w:rPr>
          <w:rFonts w:ascii="Calibri" w:hAnsi="Calibri" w:cs="Tahoma"/>
          <w:sz w:val="22"/>
          <w:szCs w:val="22"/>
        </w:rPr>
        <w:t>m</w:t>
      </w:r>
      <w:r w:rsidR="00466982" w:rsidRPr="00662F03">
        <w:rPr>
          <w:rFonts w:ascii="Calibri" w:hAnsi="Calibri" w:cs="Tahoma"/>
          <w:sz w:val="22"/>
          <w:szCs w:val="22"/>
          <w:vertAlign w:val="superscript"/>
        </w:rPr>
        <w:t>2</w:t>
      </w:r>
      <w:r w:rsidR="00466982" w:rsidRPr="00662F03">
        <w:rPr>
          <w:rFonts w:ascii="Calibri" w:hAnsi="Calibri" w:cs="Tahoma"/>
          <w:sz w:val="22"/>
          <w:szCs w:val="22"/>
        </w:rPr>
        <w:t xml:space="preserve"> powierzchni </w:t>
      </w:r>
      <w:r w:rsidR="00CC3AD0" w:rsidRPr="00662F03">
        <w:rPr>
          <w:rFonts w:ascii="Calibri" w:hAnsi="Calibri" w:cs="Tahoma"/>
          <w:sz w:val="22"/>
          <w:szCs w:val="22"/>
        </w:rPr>
        <w:t>użytkowej</w:t>
      </w:r>
      <w:r w:rsidR="00466982" w:rsidRPr="00662F03">
        <w:rPr>
          <w:rFonts w:ascii="Calibri" w:hAnsi="Calibri" w:cs="Tahoma"/>
          <w:sz w:val="22"/>
          <w:szCs w:val="22"/>
        </w:rPr>
        <w:t xml:space="preserve">, tj. </w:t>
      </w:r>
      <w:r w:rsidR="00752000" w:rsidRPr="00662F03">
        <w:rPr>
          <w:rFonts w:ascii="Calibri" w:hAnsi="Calibri" w:cs="Tahoma"/>
          <w:sz w:val="22"/>
          <w:szCs w:val="22"/>
        </w:rPr>
        <w:t>podobnie jak w powiecie</w:t>
      </w:r>
      <w:r w:rsidR="00466982" w:rsidRPr="00662F03">
        <w:rPr>
          <w:rFonts w:ascii="Calibri" w:hAnsi="Calibri" w:cs="Tahoma"/>
          <w:sz w:val="22"/>
          <w:szCs w:val="22"/>
        </w:rPr>
        <w:t>.</w:t>
      </w:r>
    </w:p>
    <w:p w:rsidR="004409B9" w:rsidRPr="00662F03" w:rsidRDefault="00B7524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Według bilansów mieszkaniowych na koniec 2009 r. w zasobach mieszkaniowych Nowej Soli było 14,9 tys. mieszkań, </w:t>
      </w:r>
      <w:r w:rsidR="00752000" w:rsidRPr="00662F03">
        <w:rPr>
          <w:rFonts w:ascii="Calibri" w:hAnsi="Calibri" w:cs="Tahoma"/>
          <w:sz w:val="22"/>
          <w:szCs w:val="22"/>
        </w:rPr>
        <w:t>czyli ponad połowa</w:t>
      </w:r>
      <w:r w:rsidRPr="00662F03">
        <w:rPr>
          <w:rFonts w:ascii="Calibri" w:hAnsi="Calibri" w:cs="Tahoma"/>
          <w:sz w:val="22"/>
          <w:szCs w:val="22"/>
        </w:rPr>
        <w:t xml:space="preserve"> ogółu zasobów powiatu. Przyrost w stosunku do 2003 r. był w Nowej Soli niższy niż w powiecie i wyniósł 1%, wobec 3,6%. Relatywnie najmniejsze mieszkania w powiecie znajdują się w Nowej Soli, gdzie przeciętna powierzchnia użytkowa mieszkania wyniosła w 2009 r. </w:t>
      </w:r>
      <w:r w:rsidR="00752000" w:rsidRPr="00662F03">
        <w:rPr>
          <w:rFonts w:ascii="Calibri" w:hAnsi="Calibri" w:cs="Tahoma"/>
          <w:sz w:val="22"/>
          <w:szCs w:val="22"/>
        </w:rPr>
        <w:t>około 58</w:t>
      </w:r>
      <w:r w:rsidRPr="00662F03">
        <w:rPr>
          <w:rFonts w:ascii="Calibri" w:hAnsi="Calibri" w:cs="Tahoma"/>
          <w:sz w:val="22"/>
          <w:szCs w:val="22"/>
        </w:rPr>
        <w:t xml:space="preserve"> m</w:t>
      </w:r>
      <w:r w:rsidRPr="00662F03">
        <w:rPr>
          <w:rFonts w:ascii="Calibri" w:hAnsi="Calibri" w:cs="Tahoma"/>
          <w:sz w:val="22"/>
          <w:szCs w:val="22"/>
          <w:vertAlign w:val="superscript"/>
        </w:rPr>
        <w:t>2</w:t>
      </w:r>
      <w:r w:rsidRPr="00662F03">
        <w:rPr>
          <w:rFonts w:ascii="Calibri" w:hAnsi="Calibri" w:cs="Tahoma"/>
          <w:sz w:val="22"/>
          <w:szCs w:val="22"/>
        </w:rPr>
        <w:t xml:space="preserve"> i była ona mniejsza niż przeciętnie w powiecie </w:t>
      </w:r>
      <w:r w:rsidR="001E11AD" w:rsidRPr="00662F03">
        <w:rPr>
          <w:rFonts w:ascii="Calibri" w:hAnsi="Calibri" w:cs="Tahoma"/>
          <w:sz w:val="22"/>
          <w:szCs w:val="22"/>
        </w:rPr>
        <w:t xml:space="preserve">o </w:t>
      </w:r>
      <w:r w:rsidR="00752000" w:rsidRPr="00662F03">
        <w:rPr>
          <w:rFonts w:ascii="Calibri" w:hAnsi="Calibri" w:cs="Tahoma"/>
          <w:sz w:val="22"/>
          <w:szCs w:val="22"/>
        </w:rPr>
        <w:t>⅙</w:t>
      </w:r>
      <w:r w:rsidRPr="00662F03">
        <w:rPr>
          <w:rFonts w:ascii="Calibri" w:hAnsi="Calibri" w:cs="Tahoma"/>
          <w:sz w:val="22"/>
          <w:szCs w:val="22"/>
        </w:rPr>
        <w:t>. W każdym mieszkaniu znajdowała się mniejsza niż przeciętnie w powiecie liczba izb –</w:t>
      </w:r>
      <w:r w:rsidR="00752000" w:rsidRPr="00662F03">
        <w:rPr>
          <w:rFonts w:ascii="Calibri" w:hAnsi="Calibri" w:cs="Tahoma"/>
          <w:sz w:val="22"/>
          <w:szCs w:val="22"/>
        </w:rPr>
        <w:t>3,4</w:t>
      </w:r>
      <w:r w:rsidRPr="00662F03">
        <w:rPr>
          <w:rFonts w:ascii="Calibri" w:hAnsi="Calibri" w:cs="Tahoma"/>
          <w:sz w:val="22"/>
          <w:szCs w:val="22"/>
        </w:rPr>
        <w:t xml:space="preserve">, wobec </w:t>
      </w:r>
      <w:r w:rsidR="00752000" w:rsidRPr="00662F03">
        <w:rPr>
          <w:rFonts w:ascii="Calibri" w:hAnsi="Calibri" w:cs="Tahoma"/>
          <w:sz w:val="22"/>
          <w:szCs w:val="22"/>
        </w:rPr>
        <w:t>3,7</w:t>
      </w:r>
      <w:r w:rsidRPr="00662F03">
        <w:rPr>
          <w:rFonts w:ascii="Calibri" w:hAnsi="Calibri" w:cs="Tahoma"/>
          <w:sz w:val="22"/>
          <w:szCs w:val="22"/>
        </w:rPr>
        <w:t xml:space="preserve"> w powiecie i</w:t>
      </w:r>
      <w:r w:rsidR="00752000" w:rsidRPr="00662F03">
        <w:rPr>
          <w:rFonts w:ascii="Calibri" w:hAnsi="Calibri" w:cs="Tahoma"/>
          <w:sz w:val="22"/>
          <w:szCs w:val="22"/>
        </w:rPr>
        <w:t xml:space="preserve"> 3,8</w:t>
      </w:r>
      <w:r w:rsidRPr="00662F03">
        <w:rPr>
          <w:rFonts w:ascii="Calibri" w:hAnsi="Calibri" w:cs="Tahoma"/>
          <w:sz w:val="22"/>
          <w:szCs w:val="22"/>
        </w:rPr>
        <w:t xml:space="preserve"> w województwie. W końcu 2009 r. przeciętne mieszkanie Nowej Soli zamieszkiwała najmniejsza w powiecie liczba osób, tj. 2,</w:t>
      </w:r>
      <w:r w:rsidR="00752000" w:rsidRPr="00662F03">
        <w:rPr>
          <w:rFonts w:ascii="Calibri" w:hAnsi="Calibri" w:cs="Tahoma"/>
          <w:sz w:val="22"/>
          <w:szCs w:val="22"/>
        </w:rPr>
        <w:t>7</w:t>
      </w:r>
      <w:r w:rsidRPr="00662F03">
        <w:rPr>
          <w:rFonts w:ascii="Calibri" w:hAnsi="Calibri" w:cs="Tahoma"/>
          <w:sz w:val="22"/>
          <w:szCs w:val="22"/>
        </w:rPr>
        <w:t xml:space="preserve"> osób, wobec </w:t>
      </w:r>
      <w:r w:rsidR="00752000" w:rsidRPr="00662F03">
        <w:rPr>
          <w:rFonts w:ascii="Calibri" w:hAnsi="Calibri" w:cs="Tahoma"/>
          <w:sz w:val="22"/>
          <w:szCs w:val="22"/>
        </w:rPr>
        <w:t>3</w:t>
      </w:r>
      <w:r w:rsidRPr="00662F03">
        <w:rPr>
          <w:rFonts w:ascii="Calibri" w:hAnsi="Calibri" w:cs="Tahoma"/>
          <w:sz w:val="22"/>
          <w:szCs w:val="22"/>
        </w:rPr>
        <w:t xml:space="preserve"> osób w powiecie. Każdy mieszkaniec miał do swojej dyspozycji 2</w:t>
      </w:r>
      <w:r w:rsidR="00752000" w:rsidRPr="00662F03">
        <w:rPr>
          <w:rFonts w:ascii="Calibri" w:hAnsi="Calibri" w:cs="Tahoma"/>
          <w:sz w:val="22"/>
          <w:szCs w:val="22"/>
        </w:rPr>
        <w:t>2 </w:t>
      </w:r>
      <w:r w:rsidRPr="00662F03">
        <w:rPr>
          <w:rFonts w:ascii="Calibri" w:hAnsi="Calibri" w:cs="Tahoma"/>
          <w:sz w:val="22"/>
          <w:szCs w:val="22"/>
        </w:rPr>
        <w:t>m</w:t>
      </w:r>
      <w:r w:rsidRPr="00662F03">
        <w:rPr>
          <w:rFonts w:ascii="Calibri" w:hAnsi="Calibri" w:cs="Tahoma"/>
          <w:sz w:val="22"/>
          <w:szCs w:val="22"/>
          <w:vertAlign w:val="superscript"/>
        </w:rPr>
        <w:t>2</w:t>
      </w:r>
      <w:r w:rsidRPr="00662F03">
        <w:rPr>
          <w:rFonts w:ascii="Calibri" w:hAnsi="Calibri" w:cs="Tahoma"/>
          <w:sz w:val="22"/>
          <w:szCs w:val="22"/>
        </w:rPr>
        <w:t xml:space="preserve"> powierzchni użytkowej mieszkania, wielkość ta była najmniejsza wśród gmin powiatu nowosolskiego</w:t>
      </w:r>
      <w:r w:rsidRPr="00662F03">
        <w:rPr>
          <w:rFonts w:ascii="Calibri" w:hAnsi="Calibri" w:cs="Tahoma"/>
          <w:sz w:val="20"/>
          <w:vertAlign w:val="superscript"/>
        </w:rPr>
        <w:footnoteReference w:id="18"/>
      </w:r>
      <w:r w:rsidRPr="00662F03">
        <w:rPr>
          <w:rFonts w:ascii="Calibri" w:hAnsi="Calibri" w:cs="Tahoma"/>
          <w:sz w:val="22"/>
          <w:szCs w:val="22"/>
        </w:rPr>
        <w:t>.</w:t>
      </w:r>
    </w:p>
    <w:p w:rsidR="00EA69F8" w:rsidRPr="006A1A22" w:rsidRDefault="004409B9" w:rsidP="004D5193">
      <w:pPr>
        <w:shd w:val="clear" w:color="auto" w:fill="FFFFFF"/>
        <w:jc w:val="both"/>
        <w:outlineLvl w:val="3"/>
        <w:rPr>
          <w:rFonts w:ascii="Calibri" w:hAnsi="Calibri" w:cs="Tahoma"/>
          <w:szCs w:val="22"/>
        </w:rPr>
      </w:pPr>
      <w:bookmarkStart w:id="65" w:name="_Toc315790513"/>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44</w:t>
      </w:r>
      <w:r w:rsidR="005433B6" w:rsidRPr="00662F03">
        <w:rPr>
          <w:rFonts w:ascii="Calibri" w:hAnsi="Calibri" w:cs="Tahoma"/>
          <w:sz w:val="20"/>
          <w:szCs w:val="22"/>
        </w:rPr>
        <w:fldChar w:fldCharType="end"/>
      </w:r>
      <w:r w:rsidRPr="00662F03">
        <w:rPr>
          <w:rFonts w:ascii="Calibri" w:hAnsi="Calibri" w:cs="Tahoma"/>
          <w:sz w:val="20"/>
          <w:szCs w:val="22"/>
        </w:rPr>
        <w:t>.</w:t>
      </w:r>
      <w:r w:rsidR="006A1A22" w:rsidRPr="006A1A22">
        <w:rPr>
          <w:b/>
          <w:bCs/>
          <w:color w:val="000000"/>
          <w:kern w:val="24"/>
          <w:sz w:val="18"/>
          <w:szCs w:val="18"/>
        </w:rPr>
        <w:t xml:space="preserve"> </w:t>
      </w:r>
      <w:r w:rsidR="006A1A22" w:rsidRPr="006A1A22">
        <w:rPr>
          <w:rFonts w:ascii="Calibri" w:hAnsi="Calibri" w:cs="Tahoma"/>
          <w:bCs/>
          <w:sz w:val="20"/>
          <w:szCs w:val="22"/>
        </w:rPr>
        <w:t>Mieszkania w Nowej Soli i miastach o porównywalnej wielkości  na 1000 mieszkańców</w:t>
      </w:r>
      <w:r w:rsidR="006A1A22" w:rsidRPr="006A1A22">
        <w:rPr>
          <w:rFonts w:ascii="Calibri" w:hAnsi="Calibri" w:cs="Tahoma"/>
          <w:sz w:val="20"/>
          <w:szCs w:val="22"/>
        </w:rPr>
        <w:t>.</w:t>
      </w:r>
      <w:bookmarkEnd w:id="65"/>
    </w:p>
    <w:p w:rsidR="00D047ED" w:rsidRPr="00662F03" w:rsidRDefault="005B1628" w:rsidP="004D5193">
      <w:pPr>
        <w:jc w:val="center"/>
        <w:rPr>
          <w:rFonts w:ascii="Calibri" w:hAnsi="Calibri"/>
          <w:noProof/>
          <w:sz w:val="22"/>
          <w:szCs w:val="22"/>
        </w:rPr>
      </w:pPr>
      <w:r>
        <w:rPr>
          <w:rFonts w:ascii="Calibri" w:hAnsi="Calibri"/>
          <w:noProof/>
          <w:sz w:val="22"/>
          <w:szCs w:val="22"/>
        </w:rPr>
        <w:drawing>
          <wp:inline distT="0" distB="0" distL="0" distR="0">
            <wp:extent cx="4914457" cy="2796362"/>
            <wp:effectExtent l="19050" t="0" r="19493" b="3988"/>
            <wp:docPr id="58"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D047ED" w:rsidRPr="00662F03" w:rsidRDefault="00D047ED" w:rsidP="004D5193">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Banku Danych</w:t>
      </w:r>
      <w:r w:rsidR="00745086" w:rsidRPr="00662F03">
        <w:rPr>
          <w:rFonts w:ascii="Calibri" w:hAnsi="Calibri" w:cs="Tahoma"/>
          <w:sz w:val="20"/>
          <w:szCs w:val="22"/>
        </w:rPr>
        <w:t xml:space="preserve"> </w:t>
      </w:r>
      <w:r w:rsidRPr="00662F03">
        <w:rPr>
          <w:rFonts w:ascii="Calibri" w:hAnsi="Calibri" w:cs="Tahoma"/>
          <w:sz w:val="20"/>
          <w:szCs w:val="22"/>
        </w:rPr>
        <w:t>Lokalnych, GUS.</w:t>
      </w:r>
    </w:p>
    <w:p w:rsidR="00466982" w:rsidRPr="00662F03" w:rsidRDefault="00101FF4"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Liczba mieszkań na 1000 ludności w Nowej Soli jest wyższa niż średnia dla miast o porównywalnej wielkości. W 2009 r. 38% spośród analizowanych miast miało więcej mieszkań na 1000 ludności niż Nowa Sól.</w:t>
      </w:r>
    </w:p>
    <w:p w:rsidR="00A15F8F" w:rsidRDefault="00BF34D2" w:rsidP="00A15F8F">
      <w:pPr>
        <w:shd w:val="clear" w:color="auto" w:fill="FFFFFF"/>
        <w:spacing w:before="150" w:after="75"/>
        <w:jc w:val="both"/>
        <w:outlineLvl w:val="3"/>
        <w:rPr>
          <w:rFonts w:ascii="Calibri" w:hAnsi="Calibri" w:cs="Tahoma"/>
          <w:bCs/>
          <w:sz w:val="22"/>
          <w:szCs w:val="22"/>
        </w:rPr>
      </w:pPr>
      <w:r w:rsidRPr="00662F03">
        <w:rPr>
          <w:rFonts w:ascii="Calibri" w:hAnsi="Calibri" w:cs="Tahoma"/>
          <w:sz w:val="22"/>
          <w:szCs w:val="22"/>
        </w:rPr>
        <w:lastRenderedPageBreak/>
        <w:t>Budynkami komunalnymi zarządza Zakład Usług Mieszkaniowych sp. z o.o. w Nowej Soli podporządkowany bezpośrednio Urzędowi Miejskiemu w Nowej Soli.</w:t>
      </w:r>
      <w:r w:rsidR="00745086" w:rsidRPr="00662F03">
        <w:rPr>
          <w:rFonts w:ascii="Calibri" w:hAnsi="Calibri" w:cs="Tahoma"/>
          <w:sz w:val="22"/>
          <w:szCs w:val="22"/>
        </w:rPr>
        <w:t xml:space="preserve"> W skład mieszkaniowego zasobu </w:t>
      </w:r>
      <w:r w:rsidR="008624A3">
        <w:rPr>
          <w:rFonts w:ascii="Calibri" w:hAnsi="Calibri" w:cs="Tahoma"/>
          <w:sz w:val="22"/>
          <w:szCs w:val="22"/>
        </w:rPr>
        <w:t>miasta</w:t>
      </w:r>
      <w:r w:rsidR="00745086" w:rsidRPr="00662F03">
        <w:rPr>
          <w:rFonts w:ascii="Calibri" w:hAnsi="Calibri" w:cs="Tahoma"/>
          <w:sz w:val="22"/>
          <w:szCs w:val="22"/>
        </w:rPr>
        <w:t xml:space="preserve"> wchodzą między innymi mie</w:t>
      </w:r>
      <w:r w:rsidR="00E5406B">
        <w:rPr>
          <w:rFonts w:ascii="Calibri" w:hAnsi="Calibri" w:cs="Tahoma"/>
          <w:sz w:val="22"/>
          <w:szCs w:val="22"/>
        </w:rPr>
        <w:t>szkania socjalne na ul. Grobla,</w:t>
      </w:r>
      <w:r w:rsidR="00745086" w:rsidRPr="00662F03">
        <w:rPr>
          <w:rFonts w:ascii="Calibri" w:hAnsi="Calibri" w:cs="Tahoma"/>
          <w:sz w:val="22"/>
          <w:szCs w:val="22"/>
        </w:rPr>
        <w:t xml:space="preserve"> Armii Krajowej</w:t>
      </w:r>
      <w:r w:rsidR="00E5406B">
        <w:rPr>
          <w:rFonts w:ascii="Calibri" w:hAnsi="Calibri" w:cs="Tahoma"/>
          <w:sz w:val="22"/>
          <w:szCs w:val="22"/>
        </w:rPr>
        <w:t xml:space="preserve">, Wyspiańskiego, </w:t>
      </w:r>
      <w:r w:rsidR="00E5406B" w:rsidRPr="00E5406B">
        <w:rPr>
          <w:rFonts w:ascii="Calibri" w:hAnsi="Calibri" w:cs="Tahoma"/>
          <w:sz w:val="22"/>
          <w:szCs w:val="22"/>
        </w:rPr>
        <w:t>Staszica, Kupieckiej, Południowej, Rydla</w:t>
      </w:r>
      <w:r w:rsidR="00745086" w:rsidRPr="00662F03">
        <w:rPr>
          <w:rFonts w:ascii="Calibri" w:hAnsi="Calibri" w:cs="Tahoma"/>
          <w:sz w:val="22"/>
          <w:szCs w:val="22"/>
        </w:rPr>
        <w:t xml:space="preserve"> oraz ul. Długiej.</w:t>
      </w:r>
      <w:r w:rsidR="00A15F8F" w:rsidRPr="00662F03">
        <w:rPr>
          <w:rFonts w:ascii="Calibri" w:hAnsi="Calibri" w:cs="Tahoma"/>
          <w:sz w:val="22"/>
          <w:szCs w:val="22"/>
        </w:rPr>
        <w:t xml:space="preserve"> </w:t>
      </w:r>
      <w:r w:rsidR="00A367DE" w:rsidRPr="00662F03">
        <w:rPr>
          <w:rFonts w:ascii="Calibri" w:hAnsi="Calibri" w:cs="Tahoma"/>
          <w:bCs/>
          <w:sz w:val="22"/>
          <w:szCs w:val="22"/>
        </w:rPr>
        <w:t xml:space="preserve">W mieście występuje niedobór lokali socjalnych. Obecnie mieszkań socjalnych na 1900 będących w zasobach komunalnych jest 200. </w:t>
      </w:r>
      <w:r w:rsidR="00A15F8F" w:rsidRPr="00662F03">
        <w:rPr>
          <w:rFonts w:ascii="Calibri" w:hAnsi="Calibri" w:cs="Tahoma"/>
          <w:bCs/>
          <w:sz w:val="22"/>
          <w:szCs w:val="22"/>
        </w:rPr>
        <w:t xml:space="preserve">W planie jest adaptacja byłej noclegowni na </w:t>
      </w:r>
      <w:r w:rsidR="00E5406B">
        <w:rPr>
          <w:rFonts w:ascii="Calibri" w:hAnsi="Calibri" w:cs="Tahoma"/>
          <w:bCs/>
          <w:sz w:val="22"/>
          <w:szCs w:val="22"/>
        </w:rPr>
        <w:t>mieszkania</w:t>
      </w:r>
      <w:r w:rsidR="00A15F8F" w:rsidRPr="00662F03">
        <w:rPr>
          <w:rFonts w:ascii="Calibri" w:hAnsi="Calibri" w:cs="Tahoma"/>
          <w:bCs/>
          <w:sz w:val="22"/>
          <w:szCs w:val="22"/>
        </w:rPr>
        <w:t xml:space="preserve"> socjalne.</w:t>
      </w:r>
    </w:p>
    <w:p w:rsidR="00AB0DC6" w:rsidRPr="00662F03" w:rsidRDefault="00E5406B" w:rsidP="00A15F8F">
      <w:pPr>
        <w:shd w:val="clear" w:color="auto" w:fill="FFFFFF"/>
        <w:spacing w:before="150" w:after="75"/>
        <w:jc w:val="both"/>
        <w:outlineLvl w:val="3"/>
        <w:rPr>
          <w:rFonts w:ascii="Calibri" w:hAnsi="Calibri" w:cs="Tahoma"/>
          <w:bCs/>
          <w:sz w:val="22"/>
          <w:szCs w:val="22"/>
        </w:rPr>
      </w:pPr>
      <w:r>
        <w:rPr>
          <w:rFonts w:ascii="Calibri" w:hAnsi="Calibri" w:cs="Tahoma"/>
          <w:bCs/>
          <w:sz w:val="22"/>
          <w:szCs w:val="22"/>
        </w:rPr>
        <w:t xml:space="preserve">Duża część mieszkańców nowosolskich budynków socjalnych nie </w:t>
      </w:r>
      <w:r w:rsidR="00AB0DC6">
        <w:rPr>
          <w:rFonts w:ascii="Calibri" w:hAnsi="Calibri" w:cs="Tahoma"/>
          <w:bCs/>
          <w:sz w:val="22"/>
          <w:szCs w:val="22"/>
        </w:rPr>
        <w:t>płaci czynszu pomimo, że w</w:t>
      </w:r>
      <w:r>
        <w:rPr>
          <w:rFonts w:ascii="Calibri" w:hAnsi="Calibri" w:cs="Tahoma"/>
          <w:bCs/>
          <w:sz w:val="22"/>
          <w:szCs w:val="22"/>
        </w:rPr>
        <w:t>iele z tych osób otrzymuje zasiłki z MOPS oraz dodatki mieszkaniowe, które często w 100% pokrywają czynsz.</w:t>
      </w:r>
      <w:r w:rsidR="00AB0DC6">
        <w:rPr>
          <w:rFonts w:ascii="Calibri" w:hAnsi="Calibri" w:cs="Tahoma"/>
          <w:bCs/>
          <w:sz w:val="22"/>
          <w:szCs w:val="22"/>
        </w:rPr>
        <w:t xml:space="preserve"> W konsekwencji są oni pozbawiani ciepłej wody, ogrzewania, prądu. W</w:t>
      </w:r>
      <w:r w:rsidR="00AB0DC6" w:rsidRPr="00AB0DC6">
        <w:rPr>
          <w:rFonts w:ascii="Calibri" w:hAnsi="Calibri" w:cs="Tahoma"/>
          <w:bCs/>
          <w:sz w:val="22"/>
          <w:szCs w:val="22"/>
        </w:rPr>
        <w:t xml:space="preserve"> ciągu ostatnich siedmiu lat na remonty lokali socjalnych wydano 2,8 mln zł. W Nowej Soli w latach 2003-2010 koszt łącznej pomocy udzielonej mieszkańcom wyniósł blisko 150 mln zł. W tym samym czasie zaległości mieszkańców w opłatach sięgnęły 1,5 mln zł.</w:t>
      </w:r>
    </w:p>
    <w:p w:rsidR="004717D3" w:rsidRPr="00662F03" w:rsidRDefault="004717D3" w:rsidP="00A15F8F">
      <w:pPr>
        <w:shd w:val="clear" w:color="auto" w:fill="FFFFFF"/>
        <w:spacing w:before="150" w:after="75"/>
        <w:jc w:val="both"/>
        <w:outlineLvl w:val="3"/>
        <w:rPr>
          <w:rFonts w:ascii="Calibri" w:hAnsi="Calibri" w:cs="Tahoma"/>
          <w:bCs/>
          <w:sz w:val="22"/>
          <w:szCs w:val="22"/>
        </w:rPr>
      </w:pPr>
    </w:p>
    <w:p w:rsidR="00DE7300" w:rsidRPr="00662F03" w:rsidRDefault="005433B6" w:rsidP="004E5A9A">
      <w:pPr>
        <w:jc w:val="both"/>
        <w:rPr>
          <w:rFonts w:ascii="Calibri" w:hAnsi="Calibri"/>
          <w:sz w:val="22"/>
          <w:szCs w:val="22"/>
        </w:rPr>
      </w:pPr>
      <w:r>
        <w:rPr>
          <w:rFonts w:ascii="Calibri" w:hAnsi="Calibri"/>
          <w:sz w:val="22"/>
          <w:szCs w:val="22"/>
        </w:rPr>
      </w:r>
      <w:r w:rsidR="00D24064">
        <w:rPr>
          <w:rFonts w:ascii="Calibri" w:hAnsi="Calibri"/>
          <w:sz w:val="22"/>
          <w:szCs w:val="22"/>
        </w:rPr>
        <w:pict>
          <v:rect id="_x0000_s1041" style="width:449.8pt;height:130pt;rotation:-360;mso-position-horizontal-relative:char;mso-position-vertical-relative:line" o:allowincell="f" fillcolor="#a7bfde" stroked="f">
            <v:fill opacity="13107f"/>
            <v:imagedata embosscolor="shadow add(51)"/>
            <v:shadow on="t" color="#d4cfb3" opacity=".5" offset="19pt,-21pt" offset2="26pt,-30pt"/>
            <v:textbox style="mso-next-textbox:#_x0000_s1041;mso-fit-shape-to-text:t" inset="28.8pt,7.2pt,14.4pt,28.8pt">
              <w:txbxContent>
                <w:p w:rsidR="00D24064" w:rsidRPr="00EC0E96" w:rsidRDefault="00D24064" w:rsidP="00DE7300">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DE7300">
                  <w:pPr>
                    <w:jc w:val="both"/>
                    <w:rPr>
                      <w:rFonts w:ascii="Calibri" w:hAnsi="Calibri"/>
                      <w:i/>
                      <w:iCs/>
                      <w:color w:val="1F497D"/>
                      <w:sz w:val="22"/>
                      <w:szCs w:val="28"/>
                    </w:rPr>
                  </w:pPr>
                  <w:r w:rsidRPr="00EC0E96">
                    <w:rPr>
                      <w:rFonts w:ascii="Calibri" w:hAnsi="Calibri"/>
                      <w:i/>
                      <w:iCs/>
                      <w:color w:val="1F497D"/>
                      <w:sz w:val="22"/>
                      <w:szCs w:val="28"/>
                    </w:rPr>
                    <w:t>Standard zamieszkania w mieście jest zróżnicowany. Duża część zasobów mieszkaniowych ma powyżej 60 lat i wymaga remontów.</w:t>
                  </w:r>
                </w:p>
                <w:p w:rsidR="00D24064" w:rsidRPr="00EC0E96" w:rsidRDefault="00D24064" w:rsidP="00DE7300">
                  <w:pPr>
                    <w:jc w:val="both"/>
                    <w:rPr>
                      <w:rFonts w:ascii="Calibri" w:hAnsi="Calibri"/>
                      <w:i/>
                      <w:iCs/>
                      <w:color w:val="1F497D"/>
                      <w:sz w:val="22"/>
                      <w:szCs w:val="28"/>
                    </w:rPr>
                  </w:pPr>
                  <w:r w:rsidRPr="00EC0E96">
                    <w:rPr>
                      <w:rFonts w:ascii="Calibri" w:hAnsi="Calibri"/>
                      <w:i/>
                      <w:iCs/>
                      <w:color w:val="1F497D"/>
                      <w:sz w:val="22"/>
                      <w:szCs w:val="28"/>
                    </w:rPr>
                    <w:t>W porównaniu do powiatu i regionu Now</w:t>
                  </w:r>
                  <w:r>
                    <w:rPr>
                      <w:rFonts w:ascii="Calibri" w:hAnsi="Calibri"/>
                      <w:i/>
                      <w:iCs/>
                      <w:color w:val="1F497D"/>
                      <w:sz w:val="22"/>
                      <w:szCs w:val="28"/>
                    </w:rPr>
                    <w:t>ą</w:t>
                  </w:r>
                  <w:r w:rsidRPr="00EC0E96">
                    <w:rPr>
                      <w:rFonts w:ascii="Calibri" w:hAnsi="Calibri"/>
                      <w:i/>
                      <w:iCs/>
                      <w:color w:val="1F497D"/>
                      <w:sz w:val="22"/>
                      <w:szCs w:val="28"/>
                    </w:rPr>
                    <w:t xml:space="preserve"> Sól </w:t>
                  </w:r>
                  <w:r>
                    <w:rPr>
                      <w:rFonts w:ascii="Calibri" w:hAnsi="Calibri"/>
                      <w:i/>
                      <w:iCs/>
                      <w:color w:val="1F497D"/>
                      <w:sz w:val="22"/>
                      <w:szCs w:val="28"/>
                    </w:rPr>
                    <w:t xml:space="preserve">charakteryzują </w:t>
                  </w:r>
                  <w:r w:rsidRPr="00EC0E96">
                    <w:rPr>
                      <w:rFonts w:ascii="Calibri" w:hAnsi="Calibri"/>
                      <w:i/>
                      <w:iCs/>
                      <w:color w:val="1F497D"/>
                      <w:sz w:val="22"/>
                      <w:szCs w:val="28"/>
                    </w:rPr>
                    <w:t xml:space="preserve">mieszkania o niewielkiej powierzchni użytkowej w m² na 1 osobę, </w:t>
                  </w:r>
                  <w:r>
                    <w:rPr>
                      <w:rFonts w:ascii="Calibri" w:hAnsi="Calibri"/>
                      <w:i/>
                      <w:iCs/>
                      <w:color w:val="1F497D"/>
                      <w:sz w:val="22"/>
                      <w:szCs w:val="28"/>
                    </w:rPr>
                    <w:t xml:space="preserve">z małą liczbą izb w mieszkaniu. </w:t>
                  </w:r>
                  <w:r w:rsidRPr="00EC0E96">
                    <w:rPr>
                      <w:rFonts w:ascii="Calibri" w:hAnsi="Calibri"/>
                      <w:i/>
                      <w:iCs/>
                      <w:color w:val="1F497D"/>
                      <w:sz w:val="22"/>
                      <w:szCs w:val="28"/>
                    </w:rPr>
                    <w:t>Należy podjąć działania, aby w większym stopniu zaspokoić potrzeby mieszkaniowe ludności.</w:t>
                  </w:r>
                </w:p>
              </w:txbxContent>
            </v:textbox>
            <w10:wrap type="none" anchorx="margin" anchory="page"/>
            <w10:anchorlock/>
          </v:rect>
        </w:pict>
      </w:r>
    </w:p>
    <w:p w:rsidR="004717D3" w:rsidRPr="00662F03" w:rsidRDefault="004717D3" w:rsidP="004E5A9A">
      <w:pPr>
        <w:jc w:val="both"/>
        <w:rPr>
          <w:rFonts w:ascii="Calibri" w:hAnsi="Calibri"/>
          <w:sz w:val="22"/>
          <w:szCs w:val="22"/>
        </w:rPr>
      </w:pPr>
    </w:p>
    <w:p w:rsidR="003451FE" w:rsidRPr="00662F03" w:rsidRDefault="002934ED" w:rsidP="007F5FC1">
      <w:pPr>
        <w:pStyle w:val="Nagwek2"/>
        <w:numPr>
          <w:ilvl w:val="1"/>
          <w:numId w:val="1"/>
        </w:numPr>
        <w:spacing w:line="240" w:lineRule="auto"/>
        <w:rPr>
          <w:rFonts w:ascii="Calibri" w:hAnsi="Calibri"/>
          <w:color w:val="17365D"/>
          <w:sz w:val="22"/>
          <w:szCs w:val="22"/>
        </w:rPr>
      </w:pPr>
      <w:bookmarkStart w:id="66" w:name="_Toc316395263"/>
      <w:r w:rsidRPr="00662F03">
        <w:rPr>
          <w:rFonts w:ascii="Calibri" w:hAnsi="Calibri"/>
          <w:color w:val="17365D"/>
          <w:sz w:val="22"/>
          <w:szCs w:val="22"/>
        </w:rPr>
        <w:t>Kultura</w:t>
      </w:r>
      <w:bookmarkEnd w:id="66"/>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dominuje oferta turystyczno-rozrywkowa skupiona wokół tradycji solnych miasta, tj. święta miasta obchodzonego corocznie w czerwcu nazywanego Świętem Solan (</w:t>
      </w:r>
      <w:r w:rsidR="00745086" w:rsidRPr="00662F03">
        <w:rPr>
          <w:rFonts w:ascii="Calibri" w:hAnsi="Calibri" w:cs="Tahoma"/>
          <w:sz w:val="22"/>
          <w:szCs w:val="22"/>
        </w:rPr>
        <w:t>uczestniczy w nim</w:t>
      </w:r>
      <w:r w:rsidRPr="00662F03">
        <w:rPr>
          <w:rFonts w:ascii="Calibri" w:hAnsi="Calibri" w:cs="Tahoma"/>
          <w:sz w:val="22"/>
          <w:szCs w:val="22"/>
        </w:rPr>
        <w:t xml:space="preserve"> ponad 15 tysięcy mieszkańców regionu), konkursu literackiego „O Szczyptę Soli”, święta bluesa pn. „Solówka”, imprez sportowo-wodnych - Regaty Smoczych Łodzi, imprezy sportowej - Półmaraton Solan. Dla uatrakcyjnienia i wzbogac</w:t>
      </w:r>
      <w:r w:rsidR="00745086" w:rsidRPr="00662F03">
        <w:rPr>
          <w:rFonts w:ascii="Calibri" w:hAnsi="Calibri" w:cs="Tahoma"/>
          <w:sz w:val="22"/>
          <w:szCs w:val="22"/>
        </w:rPr>
        <w:t xml:space="preserve">enia oferty „tradycji solnych” </w:t>
      </w:r>
      <w:r w:rsidRPr="00662F03">
        <w:rPr>
          <w:rFonts w:ascii="Calibri" w:hAnsi="Calibri" w:cs="Tahoma"/>
          <w:sz w:val="22"/>
          <w:szCs w:val="22"/>
        </w:rPr>
        <w:t>Muzeum Miejskie prezentuje m.in. solniczki z różnych epok historycznych, a Urząd Miejski wyemitował w 2009 roku lokalne monety, tzw. talary solne. Ważne wydarzenia kulturalne związane są ponadto z kinem niezależnym - Solanin-Film Festiwal oraz promocja młodych zespołów rockowych „Spring Rock Festival”.</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Przedsięwzięcia kulturalne zapewnia w Nowe</w:t>
      </w:r>
      <w:r w:rsidR="00745086" w:rsidRPr="00662F03">
        <w:rPr>
          <w:rFonts w:ascii="Calibri" w:hAnsi="Calibri" w:cs="Tahoma"/>
          <w:sz w:val="22"/>
          <w:szCs w:val="22"/>
        </w:rPr>
        <w:t>j Soli: Teatr Edwarda Gramonta „</w:t>
      </w:r>
      <w:r w:rsidRPr="00662F03">
        <w:rPr>
          <w:rFonts w:ascii="Calibri" w:hAnsi="Calibri" w:cs="Tahoma"/>
          <w:sz w:val="22"/>
          <w:szCs w:val="22"/>
        </w:rPr>
        <w:t>TERMINUS A QUO”,</w:t>
      </w:r>
      <w:r w:rsidR="00A367DE" w:rsidRPr="00662F03">
        <w:rPr>
          <w:rFonts w:ascii="Calibri" w:hAnsi="Calibri" w:cs="Tahoma"/>
          <w:sz w:val="22"/>
          <w:szCs w:val="22"/>
        </w:rPr>
        <w:t xml:space="preserve"> </w:t>
      </w:r>
      <w:r w:rsidRPr="00662F03">
        <w:rPr>
          <w:rFonts w:ascii="Calibri" w:hAnsi="Calibri" w:cs="Tahoma"/>
          <w:sz w:val="22"/>
          <w:szCs w:val="22"/>
        </w:rPr>
        <w:t>Kino Odra, Muzeum Miejskie, Biblioteka Miejska oraz Nowosolski Dom Kultury.</w:t>
      </w:r>
    </w:p>
    <w:p w:rsidR="004409B9" w:rsidRPr="00662F03" w:rsidRDefault="001E11AD"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Teatr Edwarda Gramonta „TERMINUS A QUO”</w:t>
      </w:r>
      <w:r w:rsidR="004409B9" w:rsidRPr="00662F03">
        <w:rPr>
          <w:rFonts w:ascii="Calibri" w:hAnsi="Calibri" w:cs="Tahoma"/>
          <w:sz w:val="22"/>
          <w:szCs w:val="22"/>
        </w:rPr>
        <w:t xml:space="preserve"> </w:t>
      </w:r>
      <w:r w:rsidRPr="00662F03">
        <w:rPr>
          <w:rFonts w:ascii="Calibri" w:hAnsi="Calibri" w:cs="Tahoma"/>
          <w:sz w:val="22"/>
          <w:szCs w:val="22"/>
        </w:rPr>
        <w:t xml:space="preserve">(TAQ) </w:t>
      </w:r>
      <w:r w:rsidR="004409B9" w:rsidRPr="00662F03">
        <w:rPr>
          <w:rFonts w:ascii="Calibri" w:hAnsi="Calibri" w:cs="Tahoma"/>
          <w:sz w:val="22"/>
          <w:szCs w:val="22"/>
        </w:rPr>
        <w:t xml:space="preserve">prowadzony jest obecnie przez Nowosolskie Alternatywne Stowarzyszenie Artystów – NASA. Teatr powstał w 1976 </w:t>
      </w:r>
      <w:r w:rsidRPr="00662F03">
        <w:rPr>
          <w:rFonts w:ascii="Calibri" w:hAnsi="Calibri" w:cs="Tahoma"/>
          <w:sz w:val="22"/>
          <w:szCs w:val="22"/>
        </w:rPr>
        <w:t>roku w Zakładowym Domu Kultury „Odra” Nowosolskiej Fabryki Nici „</w:t>
      </w:r>
      <w:r w:rsidR="004409B9" w:rsidRPr="00662F03">
        <w:rPr>
          <w:rFonts w:ascii="Calibri" w:hAnsi="Calibri" w:cs="Tahoma"/>
          <w:sz w:val="22"/>
          <w:szCs w:val="22"/>
        </w:rPr>
        <w:t>Odra” w Nowej Soli, gdzie działał do wiosny 1979 roku, potem zmieniał siedzibę wielokrotnie, by w końcu od 2005 roku działać samodzielnie pod szyldem Nowosolskiego Alternatywnego Stowarzyszenia Artystów – NASA. Od 1994 roku teatr występuje we własnej sali im. Ryszarda Cieślak</w:t>
      </w:r>
      <w:r w:rsidR="00DE607D" w:rsidRPr="00662F03">
        <w:rPr>
          <w:rFonts w:ascii="Calibri" w:hAnsi="Calibri" w:cs="Tahoma"/>
          <w:sz w:val="22"/>
          <w:szCs w:val="22"/>
        </w:rPr>
        <w:t xml:space="preserve">a. Od początku swego istnienia „TERMINUS A QUO” </w:t>
      </w:r>
      <w:r w:rsidR="004409B9" w:rsidRPr="00662F03">
        <w:rPr>
          <w:rFonts w:ascii="Calibri" w:hAnsi="Calibri" w:cs="Tahoma"/>
          <w:sz w:val="22"/>
          <w:szCs w:val="22"/>
        </w:rPr>
        <w:t>jest teatrem kontestującym, eksperymentującym</w:t>
      </w:r>
      <w:r w:rsidR="00C8067E" w:rsidRPr="00662F03">
        <w:rPr>
          <w:rFonts w:ascii="Calibri" w:hAnsi="Calibri" w:cs="Tahoma"/>
          <w:sz w:val="22"/>
          <w:szCs w:val="22"/>
        </w:rPr>
        <w:t>, przekraczającym</w:t>
      </w:r>
      <w:r w:rsidR="004409B9" w:rsidRPr="00662F03">
        <w:rPr>
          <w:rFonts w:ascii="Calibri" w:hAnsi="Calibri" w:cs="Tahoma"/>
          <w:sz w:val="22"/>
          <w:szCs w:val="22"/>
        </w:rPr>
        <w:t xml:space="preserve"> sztywne ramy teatralne, ale też powracającym do klasyki czy też do spektakli utrzymanych w kategoriach głębokiej poetyki. Przedstawienia teatru odbywają się na miejscu w Nowej Soli, ale także na innych scenach w Polsce (Teatr im. C.K. Norwida w Jeleniej Górze, Teatr im. A. Mickiewicza w Częstochowie, Teatr Lubuski im. L. Kruczkowskiego w Zielonej Górze, Teatr "Miniatura" w Gdańsku, Teatr im. Modrzejewskiej w Legnicy) czy w miejscach nietypowych</w:t>
      </w:r>
      <w:r w:rsidR="00DE607D" w:rsidRPr="00662F03">
        <w:rPr>
          <w:rFonts w:ascii="Calibri" w:hAnsi="Calibri" w:cs="Tahoma"/>
          <w:sz w:val="22"/>
          <w:szCs w:val="22"/>
        </w:rPr>
        <w:t>,</w:t>
      </w:r>
      <w:r w:rsidR="004409B9" w:rsidRPr="00662F03">
        <w:rPr>
          <w:rFonts w:ascii="Calibri" w:hAnsi="Calibri" w:cs="Tahoma"/>
          <w:sz w:val="22"/>
          <w:szCs w:val="22"/>
        </w:rPr>
        <w:t xml:space="preserve"> jak plenery Gór Kamiennych w Niedamirowie i plene</w:t>
      </w:r>
      <w:r w:rsidR="00DE607D" w:rsidRPr="00662F03">
        <w:rPr>
          <w:rFonts w:ascii="Calibri" w:hAnsi="Calibri" w:cs="Tahoma"/>
          <w:sz w:val="22"/>
          <w:szCs w:val="22"/>
        </w:rPr>
        <w:t>ry Gór Sowich w Srebrnej Górze.</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Teatr TAQ jest także organizatorem licznych imprez, jak Spotkanie Teatrów Amatorskich, Meeting Teatrów Amatorskich – Meta, Meeting Teatrów Alternatywnych – Meta, Festiwal Nasa, Turniej Poetycki o Pierścień Kingi, Meeting Teatrów Interesujących – Mit.</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2009 roku zadebiutował w Nowej Soli I Ogólnopolski Przegląd Filmów Niezależnych Solanin-Film Festiwal. Festiwal Solanin jest konkursem etiud filmowych prezentujący filmy studentów szkół filmowych oraz konkursem filmów amatorskich. W ramach festiwalu odbywa się pokaz filmów konkursowych w trzech kategoriach: fabuła, eksperyment i film dokumentalny. Festiwal odbywa się regularnie od 2009 roku w okresie letnim, trwa 3-4 dni. W ramach Solanina od 2010 roku przeprowadza się także Konkurs Kina Lubuskiego, w którym wyłaniany jest najlepszy film z województwa.</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Na </w:t>
      </w:r>
      <w:r w:rsidR="00FD1E63" w:rsidRPr="00662F03">
        <w:rPr>
          <w:rFonts w:ascii="Calibri" w:hAnsi="Calibri" w:cs="Tahoma"/>
          <w:sz w:val="22"/>
          <w:szCs w:val="22"/>
        </w:rPr>
        <w:t xml:space="preserve">nowosolskich </w:t>
      </w:r>
      <w:r w:rsidRPr="00662F03">
        <w:rPr>
          <w:rFonts w:ascii="Calibri" w:hAnsi="Calibri" w:cs="Tahoma"/>
          <w:sz w:val="22"/>
          <w:szCs w:val="22"/>
        </w:rPr>
        <w:t>widzów czeka kino Odra, z sa</w:t>
      </w:r>
      <w:r w:rsidR="00FD1E63" w:rsidRPr="00662F03">
        <w:rPr>
          <w:rFonts w:ascii="Calibri" w:hAnsi="Calibri" w:cs="Tahoma"/>
          <w:sz w:val="22"/>
          <w:szCs w:val="22"/>
        </w:rPr>
        <w:t>lą posiadającą ponad 250 miejsc</w:t>
      </w:r>
      <w:r w:rsidRPr="00662F03">
        <w:rPr>
          <w:rFonts w:ascii="Calibri" w:hAnsi="Calibri" w:cs="Tahoma"/>
          <w:sz w:val="22"/>
          <w:szCs w:val="22"/>
        </w:rPr>
        <w:t xml:space="preserve">, </w:t>
      </w:r>
      <w:r w:rsidR="00FD1E63" w:rsidRPr="00662F03">
        <w:rPr>
          <w:rFonts w:ascii="Calibri" w:hAnsi="Calibri" w:cs="Tahoma"/>
          <w:sz w:val="22"/>
          <w:szCs w:val="22"/>
        </w:rPr>
        <w:t>które w 2009 roku wyświetliło</w:t>
      </w:r>
      <w:r w:rsidRPr="00662F03">
        <w:rPr>
          <w:rFonts w:ascii="Calibri" w:hAnsi="Calibri" w:cs="Tahoma"/>
          <w:sz w:val="22"/>
          <w:szCs w:val="22"/>
        </w:rPr>
        <w:t xml:space="preserve"> 663 seanse dla prawie 10 tys. widzów. Kino wznowiło swoj</w:t>
      </w:r>
      <w:r w:rsidR="00FD1E63" w:rsidRPr="00662F03">
        <w:rPr>
          <w:rFonts w:ascii="Calibri" w:hAnsi="Calibri" w:cs="Tahoma"/>
          <w:sz w:val="22"/>
          <w:szCs w:val="22"/>
        </w:rPr>
        <w:t>ą</w:t>
      </w:r>
      <w:r w:rsidRPr="00662F03">
        <w:rPr>
          <w:rFonts w:ascii="Calibri" w:hAnsi="Calibri" w:cs="Tahoma"/>
          <w:sz w:val="22"/>
          <w:szCs w:val="22"/>
        </w:rPr>
        <w:t xml:space="preserve"> działalność w 2001 roku, w 2008 roku kino przystąpiło do Sieci Kin Studyjnych i Lokalnych, czyli organizacji wspierającej działania kin jednosalowych w zakresie prowadzenia edukacji filmowych, realizacji przeglądów filmowych, popularyzacji filmu w głównej mierze polskiego i europejskiego. Dzięki temu możliwy jest dostęp do wielu kopii filmów o charakterze artystycznym i niekomercyjnym.</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mieście funkcjonuje jedna palcówka muzealna - Muzeum Miejskie, które organizuje wernisaże i wystawy oraz lekcje muzealne dla uczniów. Muzeum ma w swych zbiorach ponad 8 tys. eksponatów, w 2009 roku zorganizowano w nim siedem wystaw własnych i pięć obcych. Rocznie muzeum odwiedza ok. 4,5 tys. zwiedzających. Powierzchnia wystawiennicza, którą dysponuje muzeum to 750 m², w tym 650 m² zajmują wystawy stałe, a 100 m² przeznaczone jest na lokalizację wystaw czasowych.</w:t>
      </w:r>
    </w:p>
    <w:p w:rsidR="004409B9"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Najbardziej powszechną formą uczestnictwa w kulturze jest czytelnictwo. W Nowej Soli działa 5 placówek bibliotecznych, w tym 5 bibliotek z ogólną liczbą czytelników na poziomie prawie 7 tys. Od 2011 roku Biblioteka Miejska ma nową siedzibę, wyremontowaną w ramach projektu: „Przebudowa obiektów przy ul. Bankowej na potrzeby Miejskiej Biblioteki Publicznej” (</w:t>
      </w:r>
      <w:r w:rsidR="00FD1E63" w:rsidRPr="00662F03">
        <w:rPr>
          <w:rFonts w:ascii="Calibri" w:hAnsi="Calibri" w:cs="Tahoma"/>
          <w:sz w:val="22"/>
          <w:szCs w:val="22"/>
        </w:rPr>
        <w:t xml:space="preserve">dofinansowanego z </w:t>
      </w:r>
      <w:r w:rsidRPr="00662F03">
        <w:rPr>
          <w:rFonts w:ascii="Calibri" w:hAnsi="Calibri" w:cs="Tahoma"/>
          <w:sz w:val="22"/>
          <w:szCs w:val="22"/>
        </w:rPr>
        <w:t>Lubuskiego Regionalnego Programu Operacyjnego). W odrestaurowanych dwóch budynkach mają swoją siedzibę: Biblioteka Główna, Dział Gromadzenia i Opracowywania Zbiorów administracja, galeria Biblioteki i sala spotkań autorskich oraz Biblioteka dla Dzieci.</w:t>
      </w:r>
    </w:p>
    <w:p w:rsidR="009E4642" w:rsidRDefault="009E4642" w:rsidP="004E5A9A">
      <w:pPr>
        <w:shd w:val="clear" w:color="auto" w:fill="FFFFFF"/>
        <w:spacing w:before="150" w:after="75"/>
        <w:jc w:val="both"/>
        <w:outlineLvl w:val="3"/>
        <w:rPr>
          <w:rFonts w:ascii="Calibri" w:hAnsi="Calibri" w:cs="Tahoma"/>
          <w:sz w:val="22"/>
          <w:szCs w:val="22"/>
        </w:rPr>
      </w:pPr>
    </w:p>
    <w:tbl>
      <w:tblPr>
        <w:tblW w:w="9431" w:type="dxa"/>
        <w:tblLayout w:type="fixed"/>
        <w:tblLook w:val="04A0"/>
      </w:tblPr>
      <w:tblGrid>
        <w:gridCol w:w="534"/>
        <w:gridCol w:w="8897"/>
      </w:tblGrid>
      <w:tr w:rsidR="009E4642" w:rsidRPr="00BC375D" w:rsidTr="009E4642">
        <w:trPr>
          <w:cantSplit/>
          <w:trHeight w:val="1134"/>
        </w:trPr>
        <w:tc>
          <w:tcPr>
            <w:tcW w:w="534" w:type="dxa"/>
            <w:shd w:val="clear" w:color="auto" w:fill="F2F2F2"/>
            <w:textDirection w:val="btLr"/>
          </w:tcPr>
          <w:p w:rsidR="009E4642" w:rsidRPr="00BC375D" w:rsidRDefault="009E4642" w:rsidP="00D24064">
            <w:pPr>
              <w:ind w:left="113" w:right="113"/>
              <w:jc w:val="center"/>
              <w:outlineLvl w:val="3"/>
              <w:rPr>
                <w:rFonts w:ascii="Calibri" w:eastAsia="Calibri" w:hAnsi="Calibri" w:cs="Tahoma"/>
                <w:caps/>
                <w:sz w:val="22"/>
                <w:szCs w:val="22"/>
              </w:rPr>
            </w:pPr>
            <w:r w:rsidRPr="00BC375D">
              <w:rPr>
                <w:rFonts w:ascii="Calibri" w:eastAsia="Calibri" w:hAnsi="Calibri" w:cs="Tahoma"/>
                <w:caps/>
                <w:sz w:val="22"/>
                <w:szCs w:val="22"/>
              </w:rPr>
              <w:t>dobre praktyki</w:t>
            </w:r>
          </w:p>
        </w:tc>
        <w:tc>
          <w:tcPr>
            <w:tcW w:w="8897" w:type="dxa"/>
          </w:tcPr>
          <w:p w:rsidR="009E4642" w:rsidRPr="00BA1EF2" w:rsidRDefault="009E4642" w:rsidP="00D24064">
            <w:pPr>
              <w:shd w:val="clear" w:color="auto" w:fill="FFFFFF"/>
              <w:spacing w:before="150" w:after="75"/>
              <w:jc w:val="both"/>
              <w:outlineLvl w:val="3"/>
              <w:rPr>
                <w:rFonts w:ascii="Calibri" w:eastAsia="Calibri" w:hAnsi="Calibri" w:cs="Tahoma"/>
                <w:i/>
                <w:sz w:val="22"/>
                <w:szCs w:val="22"/>
              </w:rPr>
            </w:pPr>
            <w:r>
              <w:rPr>
                <w:rFonts w:ascii="Calibri" w:eastAsia="Calibri" w:hAnsi="Calibri" w:cs="Tahoma"/>
                <w:i/>
                <w:sz w:val="22"/>
                <w:szCs w:val="22"/>
              </w:rPr>
              <w:t xml:space="preserve">Oferta kulturalna Nowej Soli nie w pełni zaspokaja potrzeby mieszkańców. Niniejsza dobra </w:t>
            </w:r>
            <w:r w:rsidRPr="00BA1EF2">
              <w:rPr>
                <w:rFonts w:ascii="Calibri" w:eastAsia="Calibri" w:hAnsi="Calibri" w:cs="Tahoma"/>
                <w:i/>
                <w:sz w:val="22"/>
                <w:szCs w:val="22"/>
              </w:rPr>
              <w:t>praktyka przedstawia przykład całościowego podejścia do rozwoju życia kult</w:t>
            </w:r>
            <w:r>
              <w:rPr>
                <w:rFonts w:ascii="Calibri" w:eastAsia="Calibri" w:hAnsi="Calibri" w:cs="Tahoma"/>
                <w:i/>
                <w:sz w:val="22"/>
                <w:szCs w:val="22"/>
              </w:rPr>
              <w:t>uralnego w mieście jako jednego</w:t>
            </w:r>
            <w:r w:rsidRPr="00BA1EF2">
              <w:rPr>
                <w:rFonts w:ascii="Calibri" w:eastAsia="Calibri" w:hAnsi="Calibri" w:cs="Tahoma"/>
                <w:i/>
                <w:sz w:val="22"/>
                <w:szCs w:val="22"/>
              </w:rPr>
              <w:t xml:space="preserve"> z filarów strategii rozwoju miasta, w tym wzmocnienia jego pozycji w regionie</w:t>
            </w:r>
            <w:r>
              <w:rPr>
                <w:rFonts w:ascii="Calibri" w:eastAsia="Calibri" w:hAnsi="Calibri" w:cs="Tahoma"/>
                <w:i/>
                <w:sz w:val="22"/>
                <w:szCs w:val="22"/>
              </w:rPr>
              <w:t xml:space="preserve">. </w:t>
            </w:r>
            <w:r w:rsidRPr="00BA1EF2">
              <w:rPr>
                <w:rFonts w:ascii="Calibri" w:eastAsia="Calibri" w:hAnsi="Calibri" w:cs="Tahoma"/>
                <w:i/>
                <w:sz w:val="22"/>
                <w:szCs w:val="22"/>
              </w:rPr>
              <w:t>Projekt polega na upowszechnianiu i poszerzaniu oferty kulturalnej, na stworzeniu warunków do jak najaktywniejszego udziału mieszkańców w życiu społecznym i kulturalnym w mieście, między innymi poprzez prowadzoną działalność Miejskiej Biblioteki Publicznej i Ełckiego Centrum Kultury, jako miejsca pracy twórców i artystów promujących akt</w:t>
            </w:r>
            <w:r>
              <w:rPr>
                <w:rFonts w:ascii="Calibri" w:eastAsia="Calibri" w:hAnsi="Calibri" w:cs="Tahoma"/>
                <w:i/>
                <w:sz w:val="22"/>
                <w:szCs w:val="22"/>
              </w:rPr>
              <w:t xml:space="preserve">ywne uczestnictwo społeczności </w:t>
            </w:r>
            <w:r w:rsidRPr="00BA1EF2">
              <w:rPr>
                <w:rFonts w:ascii="Calibri" w:eastAsia="Calibri" w:hAnsi="Calibri" w:cs="Tahoma"/>
                <w:i/>
                <w:sz w:val="22"/>
                <w:szCs w:val="22"/>
              </w:rPr>
              <w:t>lokalnej w kulturze.</w:t>
            </w:r>
          </w:p>
          <w:p w:rsidR="009E4642" w:rsidRPr="00BA1EF2" w:rsidRDefault="009E4642" w:rsidP="00D24064">
            <w:pPr>
              <w:shd w:val="clear" w:color="auto" w:fill="FFFFFF"/>
              <w:spacing w:before="150" w:after="75"/>
              <w:jc w:val="both"/>
              <w:outlineLvl w:val="3"/>
              <w:rPr>
                <w:rFonts w:ascii="Calibri" w:eastAsia="Calibri" w:hAnsi="Calibri" w:cs="Tahoma"/>
                <w:i/>
                <w:sz w:val="22"/>
                <w:szCs w:val="22"/>
              </w:rPr>
            </w:pPr>
            <w:r w:rsidRPr="00BA1EF2">
              <w:rPr>
                <w:rFonts w:ascii="Calibri" w:eastAsia="Calibri" w:hAnsi="Calibri" w:cs="Tahoma"/>
                <w:i/>
                <w:sz w:val="22"/>
                <w:szCs w:val="22"/>
              </w:rPr>
              <w:t>Miejska Biblioteka Publiczna wyszła poza podstawowe ramy swojej działalności poprzez przygotowanie różnorodnej i bogatej oferty.</w:t>
            </w:r>
            <w:r>
              <w:rPr>
                <w:rFonts w:ascii="Calibri" w:eastAsia="Calibri" w:hAnsi="Calibri" w:cs="Tahoma"/>
                <w:i/>
                <w:sz w:val="22"/>
                <w:szCs w:val="22"/>
              </w:rPr>
              <w:t xml:space="preserve"> </w:t>
            </w:r>
            <w:r w:rsidRPr="00912D57">
              <w:rPr>
                <w:rFonts w:ascii="Calibri" w:eastAsia="Calibri" w:hAnsi="Calibri" w:cs="Tahoma"/>
                <w:i/>
                <w:sz w:val="22"/>
                <w:szCs w:val="22"/>
              </w:rPr>
              <w:t>MBP prowadzi różnorodne formy działalności i aktywności m.in. poprzez organizowanie konkursów, konferencji, wystaw, spotkań z pisarzami dla dzieci, młodzieży i dorosłych, koncertów poezji śpiewanej, prelekcji, spotkań (np. organizowane „</w:t>
            </w:r>
            <w:r>
              <w:rPr>
                <w:rFonts w:ascii="Calibri" w:eastAsia="Calibri" w:hAnsi="Calibri" w:cs="Tahoma"/>
                <w:i/>
                <w:sz w:val="22"/>
                <w:szCs w:val="22"/>
              </w:rPr>
              <w:t>Lekcje Historii” wspólnie z IPN</w:t>
            </w:r>
            <w:r w:rsidRPr="00912D57">
              <w:rPr>
                <w:rFonts w:ascii="Calibri" w:eastAsia="Calibri" w:hAnsi="Calibri" w:cs="Tahoma"/>
                <w:i/>
                <w:sz w:val="22"/>
                <w:szCs w:val="22"/>
              </w:rPr>
              <w:t>).</w:t>
            </w:r>
          </w:p>
        </w:tc>
      </w:tr>
      <w:tr w:rsidR="00BA1EF2" w:rsidRPr="00BC375D" w:rsidTr="009E4642">
        <w:trPr>
          <w:cantSplit/>
          <w:trHeight w:val="1134"/>
        </w:trPr>
        <w:tc>
          <w:tcPr>
            <w:tcW w:w="534" w:type="dxa"/>
            <w:shd w:val="clear" w:color="auto" w:fill="F2F2F2"/>
            <w:textDirection w:val="btLr"/>
          </w:tcPr>
          <w:p w:rsidR="00BA1EF2" w:rsidRPr="00BC375D" w:rsidRDefault="00BA1EF2" w:rsidP="00492EE8">
            <w:pPr>
              <w:ind w:left="113" w:right="113"/>
              <w:jc w:val="center"/>
              <w:outlineLvl w:val="3"/>
              <w:rPr>
                <w:rFonts w:ascii="Calibri" w:eastAsia="Calibri" w:hAnsi="Calibri" w:cs="Tahoma"/>
                <w:caps/>
                <w:sz w:val="22"/>
                <w:szCs w:val="22"/>
              </w:rPr>
            </w:pPr>
            <w:r w:rsidRPr="00BC375D">
              <w:rPr>
                <w:rFonts w:ascii="Calibri" w:eastAsia="Calibri" w:hAnsi="Calibri" w:cs="Tahoma"/>
                <w:caps/>
                <w:sz w:val="22"/>
                <w:szCs w:val="22"/>
              </w:rPr>
              <w:lastRenderedPageBreak/>
              <w:t>dobre praktyki</w:t>
            </w:r>
          </w:p>
        </w:tc>
        <w:tc>
          <w:tcPr>
            <w:tcW w:w="8897" w:type="dxa"/>
          </w:tcPr>
          <w:p w:rsidR="00BA1EF2" w:rsidRDefault="00912D57" w:rsidP="00BA1EF2">
            <w:pPr>
              <w:shd w:val="clear" w:color="auto" w:fill="FFFFFF"/>
              <w:spacing w:before="150" w:after="75"/>
              <w:jc w:val="both"/>
              <w:outlineLvl w:val="3"/>
              <w:rPr>
                <w:rFonts w:ascii="Calibri" w:eastAsia="Calibri" w:hAnsi="Calibri" w:cs="Tahoma"/>
                <w:i/>
                <w:sz w:val="22"/>
                <w:szCs w:val="22"/>
              </w:rPr>
            </w:pPr>
            <w:r w:rsidRPr="00912D57">
              <w:rPr>
                <w:rFonts w:ascii="Calibri" w:eastAsia="Calibri" w:hAnsi="Calibri" w:cs="Tahoma"/>
                <w:i/>
                <w:sz w:val="22"/>
                <w:szCs w:val="22"/>
              </w:rPr>
              <w:t xml:space="preserve">W ramach Ełckiego Centrum Kultury utworzono Szkołę Artystyczną, na bazie istniejącej Państwowej Wyższej Szkoły Artystycznej II stopnia. Rozwiązanie to miało na celu wprowadzenie nowej jakości w funkcjonowaniu jednostki, a w szczególności wpływać na sposób dostarczania usług i powszechność. </w:t>
            </w:r>
            <w:r w:rsidR="00BA1EF2" w:rsidRPr="00BA1EF2">
              <w:rPr>
                <w:rFonts w:ascii="Calibri" w:eastAsia="Calibri" w:hAnsi="Calibri" w:cs="Tahoma"/>
                <w:i/>
                <w:sz w:val="22"/>
                <w:szCs w:val="22"/>
              </w:rPr>
              <w:t>Na potrzeby Ełckie</w:t>
            </w:r>
            <w:r w:rsidR="00BA1EF2">
              <w:rPr>
                <w:rFonts w:ascii="Calibri" w:eastAsia="Calibri" w:hAnsi="Calibri" w:cs="Tahoma"/>
                <w:i/>
                <w:sz w:val="22"/>
                <w:szCs w:val="22"/>
              </w:rPr>
              <w:t>go</w:t>
            </w:r>
            <w:r w:rsidR="00BA1EF2" w:rsidRPr="00BA1EF2">
              <w:rPr>
                <w:rFonts w:ascii="Calibri" w:eastAsia="Calibri" w:hAnsi="Calibri" w:cs="Tahoma"/>
                <w:i/>
                <w:sz w:val="22"/>
                <w:szCs w:val="22"/>
              </w:rPr>
              <w:t xml:space="preserve"> Centrum Kultury – Szkoł</w:t>
            </w:r>
            <w:r w:rsidR="00BA1EF2">
              <w:rPr>
                <w:rFonts w:ascii="Calibri" w:eastAsia="Calibri" w:hAnsi="Calibri" w:cs="Tahoma"/>
                <w:i/>
                <w:sz w:val="22"/>
                <w:szCs w:val="22"/>
              </w:rPr>
              <w:t>y</w:t>
            </w:r>
            <w:r w:rsidR="00BA1EF2" w:rsidRPr="00BA1EF2">
              <w:rPr>
                <w:rFonts w:ascii="Calibri" w:eastAsia="Calibri" w:hAnsi="Calibri" w:cs="Tahoma"/>
                <w:i/>
                <w:sz w:val="22"/>
                <w:szCs w:val="22"/>
              </w:rPr>
              <w:t xml:space="preserve"> Artystyczn</w:t>
            </w:r>
            <w:r w:rsidR="00BA1EF2">
              <w:rPr>
                <w:rFonts w:ascii="Calibri" w:eastAsia="Calibri" w:hAnsi="Calibri" w:cs="Tahoma"/>
                <w:i/>
                <w:sz w:val="22"/>
                <w:szCs w:val="22"/>
              </w:rPr>
              <w:t>ej</w:t>
            </w:r>
            <w:r w:rsidR="00BA1EF2" w:rsidRPr="00BA1EF2">
              <w:rPr>
                <w:rFonts w:ascii="Calibri" w:eastAsia="Calibri" w:hAnsi="Calibri" w:cs="Tahoma"/>
                <w:i/>
                <w:sz w:val="22"/>
                <w:szCs w:val="22"/>
              </w:rPr>
              <w:t xml:space="preserve"> zaadaptowano zabytkową kamienicę, a także unowocześniono wyposażenie instytucji kultury poprzez ulepszenie dostępu on-line oraz rozbudowano sieć informatyczną w celu promocji potencjału kulturalnego; zatrudniono wykwalifikowaną kadrę.</w:t>
            </w:r>
            <w:r>
              <w:rPr>
                <w:rFonts w:ascii="Calibri" w:eastAsia="Calibri" w:hAnsi="Calibri" w:cs="Tahoma"/>
                <w:i/>
                <w:sz w:val="22"/>
                <w:szCs w:val="22"/>
              </w:rPr>
              <w:t xml:space="preserve"> </w:t>
            </w:r>
            <w:r w:rsidRPr="00912D57">
              <w:rPr>
                <w:rFonts w:ascii="Calibri" w:eastAsia="Calibri" w:hAnsi="Calibri" w:cs="Tahoma"/>
                <w:i/>
                <w:sz w:val="22"/>
                <w:szCs w:val="22"/>
              </w:rPr>
              <w:t>Podstawowym celem funkcjonowania Szkoły Artystycznej jest przygotowanie mieszkańców, a zwłaszcza młodego pokolenia, do aktywnego i twórczego uczestnictwa w kulturze, gdzie wiodącą i priorytetową rolę spełnia edukacja artystyczna prowadzona we wszystkich podstawowych dziedzinach sztuki, animacja zjawisk kulturalnych, prezentacja i promocja wytworów kultury i sztuki. Szkoła dysponuje bogatą ofertą zajęć z zakresu edukacji artystycznej: warsztaty artystyczne, warsztaty taneczne, pracownie muzyczne, pracownie plastyczne oraz pracownie rękodzieła artystycznego</w:t>
            </w:r>
            <w:r>
              <w:rPr>
                <w:rFonts w:ascii="Calibri" w:eastAsia="Calibri" w:hAnsi="Calibri" w:cs="Tahoma"/>
                <w:i/>
                <w:sz w:val="22"/>
                <w:szCs w:val="22"/>
              </w:rPr>
              <w:t>.</w:t>
            </w:r>
          </w:p>
          <w:p w:rsidR="00BA1EF2" w:rsidRDefault="00BA1EF2" w:rsidP="00BA1EF2">
            <w:pPr>
              <w:shd w:val="clear" w:color="auto" w:fill="FFFFFF"/>
              <w:spacing w:before="150" w:after="75"/>
              <w:jc w:val="both"/>
              <w:outlineLvl w:val="3"/>
              <w:rPr>
                <w:rFonts w:ascii="Calibri" w:eastAsia="Calibri" w:hAnsi="Calibri" w:cs="Tahoma"/>
                <w:i/>
                <w:sz w:val="22"/>
                <w:szCs w:val="22"/>
              </w:rPr>
            </w:pPr>
            <w:r w:rsidRPr="00BA1EF2">
              <w:rPr>
                <w:rFonts w:ascii="Calibri" w:eastAsia="Calibri" w:hAnsi="Calibri" w:cs="Tahoma"/>
                <w:i/>
                <w:sz w:val="22"/>
                <w:szCs w:val="22"/>
              </w:rPr>
              <w:t>Z szerokiej działalności Biblioteki i Szkoły Artystycznej korzysta w ciągu roku ponad 9 tys. osób, dzieci, młodzieży i dorosłych biorąc udział w konkursach, zajęciach bibliotecznych promujących czytelnictwo, w spotkaniach autorskich, wieczorach poezji, koncertach oraz w licznych warsztatach plastycznych, muzycznych, tanecznych i innych. Poprzez swoją bogatą działalność kulturalną Miejska Biblioteka Publiczna i Szkoła Artystyczna wpływa na kształtowanie tożsamości regionalnej mieszkańców; kultywowanie i przekazywanie tradycji; tworzenie miejsca pracy twórców i artystów przyczyniających się do wykreowania pozytywnego wizerunku miasta, ochrona dziedzictwa kulturalnego; zwiększanie oferty kulturalnej i  udziału w imprezach kulturalnych; opieka nad działalnością artystów ludowych; budowanie społeczeństwa otwartego na rozwój kultury i sztuki; zmniejszanie dysproporcji w dostępie do kultury; promocja twórców lokalnych, w tym wspieranie debiutów, organizacja staży, praktyk, warsztatów i szkoleń.</w:t>
            </w:r>
          </w:p>
          <w:p w:rsidR="00BA1EF2" w:rsidRPr="00BA1EF2" w:rsidRDefault="00BA1EF2" w:rsidP="00BA1EF2">
            <w:pPr>
              <w:shd w:val="clear" w:color="auto" w:fill="FFFFFF"/>
              <w:spacing w:before="150" w:after="75"/>
              <w:jc w:val="both"/>
              <w:outlineLvl w:val="3"/>
              <w:rPr>
                <w:rFonts w:ascii="Calibri" w:eastAsia="Calibri" w:hAnsi="Calibri" w:cs="Tahoma"/>
                <w:i/>
                <w:sz w:val="22"/>
                <w:szCs w:val="22"/>
              </w:rPr>
            </w:pPr>
            <w:r w:rsidRPr="00BA1EF2">
              <w:rPr>
                <w:rFonts w:ascii="Calibri" w:eastAsia="Calibri" w:hAnsi="Calibri" w:cs="Tahoma"/>
                <w:i/>
                <w:sz w:val="22"/>
                <w:szCs w:val="22"/>
              </w:rPr>
              <w:t>Z doświadczeń Ełku wynika, że aby takie działanie dało wymierny efekt - wymaga ono dobrego przygotowania i osadzenia w planach strategicznych, zarezerwowania środków w kolejnych budżetach miasta i konsekwentnego wdrażania na przestrzeni kolejnych lat</w:t>
            </w:r>
            <w:r w:rsidR="00912D57">
              <w:rPr>
                <w:rStyle w:val="Odwoanieprzypisudolnego"/>
                <w:rFonts w:ascii="Calibri" w:eastAsia="Calibri" w:hAnsi="Calibri" w:cs="Tahoma"/>
                <w:i/>
                <w:sz w:val="22"/>
                <w:szCs w:val="22"/>
              </w:rPr>
              <w:footnoteReference w:id="19"/>
            </w:r>
            <w:r w:rsidRPr="00BA1EF2">
              <w:rPr>
                <w:rFonts w:ascii="Calibri" w:eastAsia="Calibri" w:hAnsi="Calibri" w:cs="Tahoma"/>
                <w:i/>
                <w:sz w:val="22"/>
                <w:szCs w:val="22"/>
              </w:rPr>
              <w:t>.</w:t>
            </w:r>
          </w:p>
        </w:tc>
      </w:tr>
    </w:tbl>
    <w:p w:rsidR="00BA1EF2" w:rsidRPr="00662F03" w:rsidRDefault="00BA1EF2" w:rsidP="004E5A9A">
      <w:pPr>
        <w:shd w:val="clear" w:color="auto" w:fill="FFFFFF"/>
        <w:spacing w:before="150" w:after="75"/>
        <w:jc w:val="both"/>
        <w:outlineLvl w:val="3"/>
        <w:rPr>
          <w:rFonts w:ascii="Calibri" w:hAnsi="Calibri" w:cs="Tahoma"/>
          <w:sz w:val="22"/>
          <w:szCs w:val="22"/>
        </w:rPr>
      </w:pPr>
    </w:p>
    <w:p w:rsidR="008522CD" w:rsidRDefault="00FD1E63" w:rsidP="0029538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strukturze</w:t>
      </w:r>
      <w:r w:rsidR="004409B9" w:rsidRPr="00662F03">
        <w:rPr>
          <w:rFonts w:ascii="Calibri" w:hAnsi="Calibri" w:cs="Tahoma"/>
          <w:sz w:val="22"/>
          <w:szCs w:val="22"/>
        </w:rPr>
        <w:t xml:space="preserve"> Nowosolskiego Domu Kultury działają sekcje</w:t>
      </w:r>
      <w:r w:rsidR="001E11AD" w:rsidRPr="00662F03">
        <w:rPr>
          <w:rFonts w:ascii="Calibri" w:hAnsi="Calibri" w:cs="Tahoma"/>
          <w:sz w:val="22"/>
          <w:szCs w:val="22"/>
        </w:rPr>
        <w:t>:</w:t>
      </w:r>
      <w:r w:rsidR="004409B9" w:rsidRPr="00662F03">
        <w:rPr>
          <w:rFonts w:ascii="Calibri" w:hAnsi="Calibri" w:cs="Tahoma"/>
          <w:sz w:val="22"/>
          <w:szCs w:val="22"/>
        </w:rPr>
        <w:t xml:space="preserve"> muzyczna, teatralno-literacka, taneczna i plastyczna. NDM organizuje corocznie w ramach atrakcji Świ</w:t>
      </w:r>
      <w:r w:rsidR="001E11AD" w:rsidRPr="00662F03">
        <w:rPr>
          <w:rFonts w:ascii="Calibri" w:hAnsi="Calibri" w:cs="Tahoma"/>
          <w:sz w:val="22"/>
          <w:szCs w:val="22"/>
        </w:rPr>
        <w:t xml:space="preserve">ęta Solan, konkurs literacki </w:t>
      </w:r>
      <w:r w:rsidR="004709E3" w:rsidRPr="00662F03">
        <w:rPr>
          <w:rFonts w:ascii="Calibri" w:hAnsi="Calibri" w:cs="Tahoma"/>
          <w:sz w:val="22"/>
          <w:szCs w:val="22"/>
        </w:rPr>
        <w:t>„O</w:t>
      </w:r>
      <w:r w:rsidR="001E11AD" w:rsidRPr="00662F03">
        <w:rPr>
          <w:rFonts w:ascii="Calibri" w:hAnsi="Calibri" w:cs="Tahoma"/>
          <w:sz w:val="22"/>
          <w:szCs w:val="22"/>
        </w:rPr>
        <w:t xml:space="preserve"> Szczyptę Soli”</w:t>
      </w:r>
      <w:r w:rsidR="004409B9" w:rsidRPr="00662F03">
        <w:rPr>
          <w:rFonts w:ascii="Calibri" w:hAnsi="Calibri" w:cs="Tahoma"/>
          <w:sz w:val="22"/>
          <w:szCs w:val="22"/>
        </w:rPr>
        <w:t>. Na scenie NDK prezentowały się</w:t>
      </w:r>
      <w:r w:rsidR="001E11AD" w:rsidRPr="00662F03">
        <w:rPr>
          <w:rFonts w:ascii="Calibri" w:hAnsi="Calibri" w:cs="Tahoma"/>
          <w:sz w:val="22"/>
          <w:szCs w:val="22"/>
        </w:rPr>
        <w:t>:</w:t>
      </w:r>
      <w:r w:rsidR="004409B9" w:rsidRPr="00662F03">
        <w:rPr>
          <w:rFonts w:ascii="Calibri" w:hAnsi="Calibri" w:cs="Tahoma"/>
          <w:sz w:val="22"/>
          <w:szCs w:val="22"/>
        </w:rPr>
        <w:t xml:space="preserve"> Teatr Lubuski z Zielonej Góry, Teatr im. J. Osterwy z Gorzowa, aktorzy teatrów krakowskich i warszawskich</w:t>
      </w:r>
      <w:r w:rsidR="001E11AD" w:rsidRPr="00662F03">
        <w:rPr>
          <w:rFonts w:ascii="Calibri" w:hAnsi="Calibri" w:cs="Tahoma"/>
          <w:sz w:val="22"/>
          <w:szCs w:val="22"/>
        </w:rPr>
        <w:t>, a</w:t>
      </w:r>
      <w:r w:rsidR="004409B9" w:rsidRPr="00662F03">
        <w:rPr>
          <w:rFonts w:ascii="Calibri" w:hAnsi="Calibri" w:cs="Tahoma"/>
          <w:sz w:val="22"/>
          <w:szCs w:val="22"/>
        </w:rPr>
        <w:t xml:space="preserve"> także Pantomima Wrocławska. Nowosolski Dom Kultury może również poszczycić się własną "Estradą" prezentując widowiska muzyczne przygotowane przez lokalnych artystów. W ramach imprez "Pro Arte" NDK promuje działania artystyczne dzieci i młodzieży przeprowadzając Powiatowe Eliminacje Piosenki Dziecięcej i Młodzieżowej oraz Lubuską Galę Taneczną, organizuje również przeglądy i konkursy recytatorskie i teatralne. Do najpopularniejszych sekcji zainteresowań należą: stu</w:t>
      </w:r>
      <w:r w:rsidR="001E11AD" w:rsidRPr="00662F03">
        <w:rPr>
          <w:rFonts w:ascii="Calibri" w:hAnsi="Calibri" w:cs="Tahoma"/>
          <w:sz w:val="22"/>
          <w:szCs w:val="22"/>
        </w:rPr>
        <w:t>dio piosenki, zespół taneczny, „Gamix”</w:t>
      </w:r>
      <w:r w:rsidR="004409B9" w:rsidRPr="00662F03">
        <w:rPr>
          <w:rFonts w:ascii="Calibri" w:hAnsi="Calibri" w:cs="Tahoma"/>
          <w:sz w:val="22"/>
          <w:szCs w:val="22"/>
        </w:rPr>
        <w:t>, pracown</w:t>
      </w:r>
      <w:r w:rsidR="001E11AD" w:rsidRPr="00662F03">
        <w:rPr>
          <w:rFonts w:ascii="Calibri" w:hAnsi="Calibri" w:cs="Tahoma"/>
          <w:sz w:val="22"/>
          <w:szCs w:val="22"/>
        </w:rPr>
        <w:t>ia ceramiczna „Mozaika”, klub literacki „De Facto”</w:t>
      </w:r>
      <w:r w:rsidR="004409B9" w:rsidRPr="00662F03">
        <w:rPr>
          <w:rFonts w:ascii="Calibri" w:hAnsi="Calibri" w:cs="Tahoma"/>
          <w:sz w:val="22"/>
          <w:szCs w:val="22"/>
        </w:rPr>
        <w:t>, grupa recytatorów, grupy teatralne. Dom Kultury aktywnie uczestniczy w działaniach integrujących lokalne środowisko</w:t>
      </w:r>
      <w:r w:rsidR="001E11AD" w:rsidRPr="00662F03">
        <w:rPr>
          <w:rFonts w:ascii="Calibri" w:hAnsi="Calibri" w:cs="Tahoma"/>
          <w:sz w:val="22"/>
          <w:szCs w:val="22"/>
        </w:rPr>
        <w:t>,</w:t>
      </w:r>
      <w:r w:rsidR="004409B9" w:rsidRPr="00662F03">
        <w:rPr>
          <w:rFonts w:ascii="Calibri" w:hAnsi="Calibri" w:cs="Tahoma"/>
          <w:sz w:val="22"/>
          <w:szCs w:val="22"/>
        </w:rPr>
        <w:t xml:space="preserve"> biorąc udział w różnych projektach i przedsięwzięciach</w:t>
      </w:r>
      <w:r w:rsidR="001E11AD" w:rsidRPr="00662F03">
        <w:rPr>
          <w:rFonts w:ascii="Calibri" w:hAnsi="Calibri" w:cs="Tahoma"/>
          <w:sz w:val="22"/>
          <w:szCs w:val="22"/>
        </w:rPr>
        <w:t>, takich jak: „</w:t>
      </w:r>
      <w:r w:rsidR="004409B9" w:rsidRPr="00662F03">
        <w:rPr>
          <w:rFonts w:ascii="Calibri" w:hAnsi="Calibri" w:cs="Tahoma"/>
          <w:sz w:val="22"/>
          <w:szCs w:val="22"/>
        </w:rPr>
        <w:t>Finał Wielkiej O</w:t>
      </w:r>
      <w:r w:rsidR="001E11AD" w:rsidRPr="00662F03">
        <w:rPr>
          <w:rFonts w:ascii="Calibri" w:hAnsi="Calibri" w:cs="Tahoma"/>
          <w:sz w:val="22"/>
          <w:szCs w:val="22"/>
        </w:rPr>
        <w:t>rkiestry Świątecznej Pomocy”, czy Spływ Tratw „Odra Adventure”</w:t>
      </w:r>
      <w:r w:rsidR="004409B9" w:rsidRPr="00662F03">
        <w:rPr>
          <w:rFonts w:ascii="Calibri" w:hAnsi="Calibri" w:cs="Tahoma"/>
          <w:sz w:val="22"/>
          <w:szCs w:val="22"/>
        </w:rPr>
        <w:t>. NDK jest pomysłodawcą i realiz</w:t>
      </w:r>
      <w:r w:rsidR="001E11AD" w:rsidRPr="00662F03">
        <w:rPr>
          <w:rFonts w:ascii="Calibri" w:hAnsi="Calibri" w:cs="Tahoma"/>
          <w:sz w:val="22"/>
          <w:szCs w:val="22"/>
        </w:rPr>
        <w:t>atorem imprez ogólnopolskich – „Spring Rock Festival”, są to</w:t>
      </w:r>
      <w:r w:rsidR="004409B9" w:rsidRPr="00662F03">
        <w:rPr>
          <w:rFonts w:ascii="Calibri" w:hAnsi="Calibri" w:cs="Tahoma"/>
          <w:sz w:val="22"/>
          <w:szCs w:val="22"/>
        </w:rPr>
        <w:t xml:space="preserve"> koncerty muzyczne promujące młode polskie zespoły rockowe. Zainicjowano również w oparciu o środki unijne imprezę pn. ,,Nowosolska Jesień Artystyczna’’ mając</w:t>
      </w:r>
      <w:r w:rsidRPr="00662F03">
        <w:rPr>
          <w:rFonts w:ascii="Calibri" w:hAnsi="Calibri" w:cs="Tahoma"/>
          <w:sz w:val="22"/>
          <w:szCs w:val="22"/>
        </w:rPr>
        <w:t>ą</w:t>
      </w:r>
      <w:r w:rsidR="004409B9" w:rsidRPr="00662F03">
        <w:rPr>
          <w:rFonts w:ascii="Calibri" w:hAnsi="Calibri" w:cs="Tahoma"/>
          <w:sz w:val="22"/>
          <w:szCs w:val="22"/>
        </w:rPr>
        <w:t xml:space="preserve"> na celu prezentację muzyki i sztuki klasycznej na najwyższym poziomie.</w:t>
      </w:r>
    </w:p>
    <w:p w:rsidR="009E4642" w:rsidRDefault="009E4642">
      <w:pPr>
        <w:rPr>
          <w:rFonts w:ascii="Calibri" w:hAnsi="Calibri" w:cs="Tahoma"/>
          <w:sz w:val="22"/>
          <w:szCs w:val="22"/>
        </w:rPr>
      </w:pPr>
      <w:bookmarkStart w:id="67" w:name="_Toc315790514"/>
      <w:r>
        <w:rPr>
          <w:rFonts w:ascii="Calibri" w:hAnsi="Calibri" w:cs="Tahoma"/>
          <w:sz w:val="22"/>
          <w:szCs w:val="22"/>
        </w:rPr>
        <w:br w:type="page"/>
      </w:r>
    </w:p>
    <w:p w:rsidR="004409B9" w:rsidRPr="006A1A22" w:rsidRDefault="004409B9" w:rsidP="0072145F">
      <w:pPr>
        <w:shd w:val="clear" w:color="auto" w:fill="FFFFFF"/>
        <w:jc w:val="both"/>
        <w:outlineLvl w:val="3"/>
        <w:rPr>
          <w:rFonts w:ascii="Calibri" w:hAnsi="Calibri" w:cs="Tahoma"/>
          <w:szCs w:val="22"/>
        </w:rPr>
      </w:pPr>
      <w:r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45</w:t>
      </w:r>
      <w:r w:rsidR="005433B6" w:rsidRPr="00662F03">
        <w:rPr>
          <w:rFonts w:ascii="Calibri" w:hAnsi="Calibri" w:cs="Tahoma"/>
          <w:sz w:val="20"/>
          <w:szCs w:val="22"/>
        </w:rPr>
        <w:fldChar w:fldCharType="end"/>
      </w:r>
      <w:r w:rsidRPr="00662F03">
        <w:rPr>
          <w:rFonts w:ascii="Calibri" w:hAnsi="Calibri" w:cs="Tahoma"/>
          <w:sz w:val="20"/>
          <w:szCs w:val="22"/>
        </w:rPr>
        <w:t>.</w:t>
      </w:r>
      <w:r w:rsidR="006A1A22" w:rsidRPr="006A1A22">
        <w:rPr>
          <w:b/>
          <w:bCs/>
          <w:color w:val="000000"/>
          <w:kern w:val="24"/>
          <w:sz w:val="18"/>
          <w:szCs w:val="18"/>
        </w:rPr>
        <w:t xml:space="preserve"> </w:t>
      </w:r>
      <w:r w:rsidR="006A1A22" w:rsidRPr="006A1A22">
        <w:rPr>
          <w:rFonts w:ascii="Calibri" w:hAnsi="Calibri" w:cs="Tahoma"/>
          <w:bCs/>
          <w:sz w:val="20"/>
          <w:szCs w:val="22"/>
        </w:rPr>
        <w:t>Frekwencja w w</w:t>
      </w:r>
      <w:r w:rsidR="006A1A22">
        <w:rPr>
          <w:rFonts w:ascii="Calibri" w:hAnsi="Calibri" w:cs="Tahoma"/>
          <w:bCs/>
          <w:sz w:val="20"/>
          <w:szCs w:val="22"/>
        </w:rPr>
        <w:t>ybranych instytucjach kultury -</w:t>
      </w:r>
      <w:r w:rsidR="006A1A22" w:rsidRPr="006A1A22">
        <w:rPr>
          <w:rFonts w:ascii="Calibri" w:hAnsi="Calibri" w:cs="Tahoma"/>
          <w:bCs/>
          <w:sz w:val="20"/>
          <w:szCs w:val="22"/>
        </w:rPr>
        <w:t xml:space="preserve"> biblioteki, kina, muzea w Nowej Soli.</w:t>
      </w:r>
      <w:bookmarkEnd w:id="67"/>
    </w:p>
    <w:p w:rsidR="004409B9" w:rsidRPr="00662F03" w:rsidRDefault="005B1628" w:rsidP="0072145F">
      <w:pPr>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095381" cy="3342894"/>
            <wp:effectExtent l="19050" t="0" r="10019" b="0"/>
            <wp:docPr id="60"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4409B9" w:rsidRPr="00662F03" w:rsidRDefault="00FD1E63" w:rsidP="0072145F">
      <w:pPr>
        <w:shd w:val="clear" w:color="auto" w:fill="FFFFFF"/>
        <w:jc w:val="both"/>
        <w:outlineLvl w:val="3"/>
        <w:rPr>
          <w:rFonts w:ascii="Calibri" w:hAnsi="Calibri" w:cs="Tahoma"/>
          <w:sz w:val="20"/>
          <w:szCs w:val="22"/>
        </w:rPr>
      </w:pPr>
      <w:r w:rsidRPr="00662F03">
        <w:rPr>
          <w:rFonts w:ascii="Calibri" w:hAnsi="Calibri" w:cs="Tahoma"/>
          <w:sz w:val="20"/>
          <w:szCs w:val="22"/>
        </w:rPr>
        <w:t>Źródło</w:t>
      </w:r>
      <w:r w:rsidR="004409B9" w:rsidRPr="00662F03">
        <w:rPr>
          <w:rFonts w:ascii="Calibri" w:hAnsi="Calibri" w:cs="Tahoma"/>
          <w:sz w:val="20"/>
          <w:szCs w:val="22"/>
        </w:rPr>
        <w:t>: opracowanie własne na podstawie danych GUS</w:t>
      </w:r>
      <w:r w:rsidR="004A24CA">
        <w:rPr>
          <w:rFonts w:ascii="Calibri" w:hAnsi="Calibri"/>
          <w:sz w:val="20"/>
        </w:rPr>
        <w:t>, Bank Danych Lokalnych</w:t>
      </w:r>
      <w:r w:rsidR="004409B9" w:rsidRPr="00662F03">
        <w:rPr>
          <w:rFonts w:ascii="Calibri" w:hAnsi="Calibri" w:cs="Tahoma"/>
          <w:sz w:val="20"/>
          <w:szCs w:val="22"/>
        </w:rPr>
        <w:t>.</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danych GUS za rok 2009 dom kultury, kluby, świetlice zorganizowały ponad 50 imprez, w których łącznie uczestniczyło ponad 8 900 osób, dla porównania w 2005 roku było to 75 imprez z liczbą uczestników na poziomie prawie 15 tys. osób.</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Bliska odległość między Nową Solą a kulturalną stolicą regionu – Zieloną Górą pozwala nowosolaninom korzystać z oferty kulturalnej Zielonej Góry. Dotyczy to imprez cyklicznych, jak Festiwal Piosenki Rosyjskiej czy Biennale Sztuki Nowej, Festiwal Kabaretu, Festiwal Quest Europe, wielkiej imprezy pn. „Winobranie”, Lato Muz Wszelakich, czy bieżącego udziału w życiu kulturalnym, tj. uczęszczania do teatru, filharmonii, galerii sztuki, kin czy muzeów.</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jest miastem stosunkowo bogatym w obiekty zabytkowe. Charakter miasta określa w dużej mierze przeszłość - spuścizna historyczna związana z warzelniami soli. To właśnie pierwotnie warzelnie soli, później port rzeczny zdeterminowały jakość budowli i przestrzeni miejskich w Nowej Soli. W wielu miejscach historycznie ukształtowana zabudowa nie uległa zniszczeniu w toku działań wojennych. Zdecydowanie bardziej zaszkodziła jej realizacja niewłaściwych planów przekształceń przestrzennych (nadmierny rozwój funkcji przemysłowej i mieszkaniowej) oraz budowy tras komunikacyjnych, a także niekontrolowane działania na rynku nieruchomości.</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Wartościowy charakter ma historycznie wykształcony układ urbanistyczny śródmieścia Nowej Soli, tj. sieć ulic, placów a także istniejące gabaryty i charakter zabudowy.</w:t>
      </w:r>
    </w:p>
    <w:p w:rsidR="00E94531"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Wśród najciekawszych zabytków miasta wymienić należy unikalny w skali Europy, jedyny na obszarze Polski czynny most podnoszony na kanale portowym, Zbór Braci Czeskich z połowy XVIII w</w:t>
      </w:r>
      <w:r w:rsidR="00736857">
        <w:rPr>
          <w:rFonts w:ascii="Calibri" w:hAnsi="Calibri" w:cs="Tahoma"/>
          <w:sz w:val="22"/>
          <w:szCs w:val="22"/>
        </w:rPr>
        <w:t>., Magazyn Solny</w:t>
      </w:r>
      <w:r w:rsidRPr="00662F03">
        <w:rPr>
          <w:rFonts w:ascii="Calibri" w:hAnsi="Calibri" w:cs="Tahoma"/>
          <w:sz w:val="22"/>
          <w:szCs w:val="22"/>
        </w:rPr>
        <w:t>, zabytki architektury sakralnej (Kościół św. Antoniego, Kościół św. Michała Archanioła, Kościół św. Barbary).</w:t>
      </w:r>
    </w:p>
    <w:p w:rsidR="00E94531" w:rsidRDefault="00E94531" w:rsidP="004E5A9A">
      <w:pPr>
        <w:shd w:val="clear" w:color="auto" w:fill="FFFFFF"/>
        <w:spacing w:before="150" w:after="75"/>
        <w:jc w:val="both"/>
        <w:outlineLvl w:val="3"/>
        <w:rPr>
          <w:rFonts w:ascii="Calibri" w:hAnsi="Calibri" w:cs="Tahoma"/>
          <w:sz w:val="22"/>
          <w:szCs w:val="22"/>
        </w:rPr>
      </w:pPr>
      <w:r w:rsidRPr="00E94531">
        <w:rPr>
          <w:rFonts w:ascii="Calibri" w:hAnsi="Calibri" w:cs="Tahoma"/>
          <w:sz w:val="22"/>
          <w:szCs w:val="22"/>
        </w:rPr>
        <w:t>Most nad kanałem portowym w Nowej Soli usytuowany w ciągu Alei Wolności, jest unikatowym w skali Polski i Europy mostem ruchomym z podnoszonym przęsłem. Wybudowany został w 1927r.</w:t>
      </w:r>
      <w:r>
        <w:rPr>
          <w:rFonts w:ascii="Calibri" w:hAnsi="Calibri" w:cs="Tahoma"/>
          <w:sz w:val="22"/>
          <w:szCs w:val="22"/>
        </w:rPr>
        <w:t xml:space="preserve"> M</w:t>
      </w:r>
      <w:r w:rsidRPr="00E94531">
        <w:rPr>
          <w:rFonts w:ascii="Calibri" w:hAnsi="Calibri" w:cs="Tahoma"/>
          <w:sz w:val="22"/>
          <w:szCs w:val="22"/>
        </w:rPr>
        <w:t>ost poddano w latach 1954-55 gruntownemu remontowi. Od 1988 r. z uwagi na zły stan techniczny most był przeznaczony wyłącznie do ruchu pieszego. Po remoncie kapitalnym konstrukcji mostu i mechanizmu podnoszenia, zakończonym w 1993 r. jego stan techniczny jest bardzo dobry.</w:t>
      </w:r>
      <w:r>
        <w:rPr>
          <w:rFonts w:ascii="Calibri" w:hAnsi="Calibri" w:cs="Tahoma"/>
          <w:sz w:val="22"/>
          <w:szCs w:val="22"/>
        </w:rPr>
        <w:t xml:space="preserve"> </w:t>
      </w:r>
      <w:r w:rsidRPr="00E94531">
        <w:rPr>
          <w:rFonts w:ascii="Calibri" w:hAnsi="Calibri" w:cs="Tahoma"/>
          <w:sz w:val="22"/>
          <w:szCs w:val="22"/>
        </w:rPr>
        <w:t>Elementami składowymi mostu przesądzającymi o jego walorach historyczno-technicznych są: przęsło i mechanizm podnoszenia, który pierwotnie był napędzany ręcznie, obecnie zaś elektrycznie.</w:t>
      </w:r>
    </w:p>
    <w:p w:rsidR="004409B9" w:rsidRPr="00662F03" w:rsidRDefault="00E94531" w:rsidP="004E5A9A">
      <w:pPr>
        <w:shd w:val="clear" w:color="auto" w:fill="FFFFFF"/>
        <w:spacing w:before="150" w:after="75"/>
        <w:jc w:val="both"/>
        <w:outlineLvl w:val="3"/>
        <w:rPr>
          <w:rFonts w:ascii="Calibri" w:hAnsi="Calibri" w:cs="Tahoma"/>
          <w:sz w:val="22"/>
          <w:szCs w:val="22"/>
        </w:rPr>
      </w:pPr>
      <w:r w:rsidRPr="00E94531">
        <w:rPr>
          <w:rFonts w:ascii="Calibri" w:hAnsi="Calibri" w:cs="Tahoma"/>
          <w:sz w:val="22"/>
          <w:szCs w:val="22"/>
        </w:rPr>
        <w:lastRenderedPageBreak/>
        <w:t>Zabytkowy magazyn solny w Nowej Soli</w:t>
      </w:r>
      <w:r>
        <w:rPr>
          <w:rFonts w:ascii="Calibri" w:hAnsi="Calibri" w:cs="Tahoma"/>
          <w:sz w:val="22"/>
          <w:szCs w:val="22"/>
        </w:rPr>
        <w:t xml:space="preserve">, </w:t>
      </w:r>
      <w:r w:rsidRPr="00E94531">
        <w:rPr>
          <w:rFonts w:ascii="Calibri" w:hAnsi="Calibri" w:cs="Tahoma"/>
          <w:sz w:val="22"/>
          <w:szCs w:val="22"/>
        </w:rPr>
        <w:t>wpisany do rejestru zabytków, usytuowany na placu Solnym niszczeje</w:t>
      </w:r>
      <w:r>
        <w:rPr>
          <w:rFonts w:ascii="Calibri" w:hAnsi="Calibri" w:cs="Tahoma"/>
          <w:sz w:val="22"/>
          <w:szCs w:val="22"/>
        </w:rPr>
        <w:t xml:space="preserve">. </w:t>
      </w:r>
      <w:r w:rsidRPr="00E94531">
        <w:rPr>
          <w:rFonts w:ascii="Calibri" w:hAnsi="Calibri" w:cs="Tahoma"/>
          <w:sz w:val="22"/>
          <w:szCs w:val="22"/>
        </w:rPr>
        <w:t>Jest to murowana, parterowa budowla, pokryta wysokim, spadowym dachem. Obiekt pochodzi z drugiej połowy XVIII wieku. Należał do terenów faktorii solnej. Do końca XX wieku pełnił różne funkcje mag</w:t>
      </w:r>
      <w:r>
        <w:rPr>
          <w:rFonts w:ascii="Calibri" w:hAnsi="Calibri" w:cs="Tahoma"/>
          <w:sz w:val="22"/>
          <w:szCs w:val="22"/>
        </w:rPr>
        <w:t>azynowe. Potem zaczął niszczeć.</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posiada też wiele ciekawych przykładów XIX- i XX-wiecznej architektury przemysłowej, m.in. zabudowania byłych Dolnośląskich Zakładów Metalurgicznych „Dozame</w:t>
      </w:r>
      <w:r w:rsidR="003203C3" w:rsidRPr="00662F03">
        <w:rPr>
          <w:rFonts w:ascii="Calibri" w:hAnsi="Calibri" w:cs="Tahoma"/>
          <w:sz w:val="22"/>
          <w:szCs w:val="22"/>
        </w:rPr>
        <w:t>t”, przy głównej arterii miasta</w:t>
      </w:r>
      <w:r w:rsidRPr="00662F03">
        <w:rPr>
          <w:rFonts w:ascii="Calibri" w:hAnsi="Calibri" w:cs="Tahoma"/>
          <w:sz w:val="22"/>
          <w:szCs w:val="22"/>
        </w:rPr>
        <w:t xml:space="preserve"> </w:t>
      </w:r>
      <w:r w:rsidR="003203C3" w:rsidRPr="00662F03">
        <w:rPr>
          <w:rFonts w:ascii="Calibri" w:hAnsi="Calibri" w:cs="Tahoma"/>
          <w:sz w:val="22"/>
          <w:szCs w:val="22"/>
        </w:rPr>
        <w:t>(</w:t>
      </w:r>
      <w:r w:rsidRPr="00662F03">
        <w:rPr>
          <w:rFonts w:ascii="Calibri" w:hAnsi="Calibri" w:cs="Tahoma"/>
          <w:sz w:val="22"/>
          <w:szCs w:val="22"/>
        </w:rPr>
        <w:t>ul. Piłsudskiego</w:t>
      </w:r>
      <w:r w:rsidR="003203C3" w:rsidRPr="00662F03">
        <w:rPr>
          <w:rFonts w:ascii="Calibri" w:hAnsi="Calibri" w:cs="Tahoma"/>
          <w:sz w:val="22"/>
          <w:szCs w:val="22"/>
        </w:rPr>
        <w:t>)</w:t>
      </w:r>
      <w:r w:rsidRPr="00662F03">
        <w:rPr>
          <w:rFonts w:ascii="Calibri" w:hAnsi="Calibri" w:cs="Tahoma"/>
          <w:sz w:val="22"/>
          <w:szCs w:val="22"/>
        </w:rPr>
        <w:t>, budynek browaru nowosolskiego z 1916 roku przy ul. Wrocławskiej. Zabytkowy jest też zespół spacerowy w parku w pobliżu byłych zakładów „Odra”. Bogaty wystrój sztukatorski posiadają kamienice secesyjne przy głównych ulicach miasta.</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Zaledwie 5 km na północ od miasta leży Otyń</w:t>
      </w:r>
      <w:r w:rsidR="00421EA4">
        <w:rPr>
          <w:rFonts w:ascii="Calibri" w:hAnsi="Calibri" w:cs="Tahoma"/>
          <w:sz w:val="22"/>
          <w:szCs w:val="22"/>
        </w:rPr>
        <w:t>, w którym zlokalizowany jest</w:t>
      </w:r>
      <w:r w:rsidRPr="00662F03">
        <w:rPr>
          <w:rFonts w:ascii="Calibri" w:hAnsi="Calibri" w:cs="Tahoma"/>
          <w:sz w:val="22"/>
          <w:szCs w:val="22"/>
        </w:rPr>
        <w:t xml:space="preserve"> renesansowy zam</w:t>
      </w:r>
      <w:r w:rsidR="00421EA4">
        <w:rPr>
          <w:rFonts w:ascii="Calibri" w:hAnsi="Calibri" w:cs="Tahoma"/>
          <w:sz w:val="22"/>
          <w:szCs w:val="22"/>
        </w:rPr>
        <w:t>ek</w:t>
      </w:r>
      <w:r w:rsidRPr="00662F03">
        <w:rPr>
          <w:rFonts w:ascii="Calibri" w:hAnsi="Calibri" w:cs="Tahoma"/>
          <w:sz w:val="22"/>
          <w:szCs w:val="22"/>
        </w:rPr>
        <w:t xml:space="preserve">, </w:t>
      </w:r>
      <w:r w:rsidR="00421EA4">
        <w:rPr>
          <w:rFonts w:ascii="Calibri" w:hAnsi="Calibri" w:cs="Tahoma"/>
          <w:sz w:val="22"/>
          <w:szCs w:val="22"/>
        </w:rPr>
        <w:t>obecnie zdewastowany i popadający w ruinę</w:t>
      </w:r>
      <w:r w:rsidRPr="00662F03">
        <w:rPr>
          <w:rFonts w:ascii="Calibri" w:hAnsi="Calibri" w:cs="Tahoma"/>
          <w:sz w:val="22"/>
          <w:szCs w:val="22"/>
        </w:rPr>
        <w:t>.</w:t>
      </w:r>
      <w:r w:rsidR="00421EA4">
        <w:rPr>
          <w:rFonts w:ascii="Calibri" w:hAnsi="Calibri" w:cs="Tahoma"/>
          <w:sz w:val="22"/>
          <w:szCs w:val="22"/>
        </w:rPr>
        <w:t xml:space="preserve"> Zamek </w:t>
      </w:r>
      <w:r w:rsidR="00421EA4" w:rsidRPr="00421EA4">
        <w:rPr>
          <w:rFonts w:ascii="Calibri" w:hAnsi="Calibri" w:cs="Tahoma"/>
          <w:sz w:val="22"/>
          <w:szCs w:val="22"/>
        </w:rPr>
        <w:t>otacza od północnego zachodu park i zabudowa folwarczna od strony wschodniej.</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Rejestr zabytków województwa lubuskiego dla miasta Nowa Sól obejmuje 147 obiektów. Wpisem do rejestru zabytków objęte są jedynie zabytki nieruchome, które – prócz układu urbanistycznego – stanowią: dzieła architektury i budownictwa, zabytki techniki, obiekty rezydencjonalne, obiekty sakralne oraz obiekty użyteczności publicznej. Najliczniej reprezentowane są obiekty architektury i budownictwa, wśród których dominują XIX-i XX-wieczne kamienice czynszowe, wpisane niekiedy zespołami (ul. Zjednoczenia, Muzealna, Wojska Polskiego, Wyspiańskiego, Witosa). Drugą pod względem ilości grupę obiektów wpisanych do rejestru tworzą zabytki techniki, wśród nich dwa XVIII-wieczne magazyny solne, zabudowa Starej Huty – ob. Dolnośląskich Zakładów Metalurgicznych „Dozamet”, zespół zabudowy gazowni miejskiej oraz browaru. Do obiektów rezydencjonalnych objętych ochroną prawną należą wille fabrykantów i przedsiębiorców, w tym willa właściciela browaru, willa dyrektora fabryki nici, willa dyrektora Huty Pauliny, willa dyrektora fabryki kleju, willa mistrza budowlanego i ciesielskiego oraz trzy wille współwłaścicieli fabryki nici. Z zabytkowych obiektów użyteczności publicznej ochroną prawną objęto trzy, tj. dom starców – ob. szkołę, łaźnię miejską i budynek sądu. Obiekty sakralne objęte wpisem do rejestru to: kościół paraf. p.w. św. Michała Archanioła, będący najstarszym kościołem Nowej Soli, XVIII-wieczny zbór braci morawskich i kościół staroluterański (ob. fil. p.w. św. Barbary).</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Ponadto, na terenie Nowej Soli znajduje się 1 366 obiektów wpisanych do ewidencji zabytków nieruchomych, w tym budynki użyteczności publicznej, przemysłowe i mieszkalne</w:t>
      </w:r>
      <w:r w:rsidRPr="00662F03">
        <w:rPr>
          <w:rFonts w:ascii="Calibri" w:hAnsi="Calibri" w:cs="Tahoma"/>
          <w:sz w:val="20"/>
          <w:vertAlign w:val="superscript"/>
        </w:rPr>
        <w:footnoteReference w:id="20"/>
      </w:r>
      <w:r w:rsidRPr="00662F03">
        <w:rPr>
          <w:rFonts w:ascii="Calibri" w:hAnsi="Calibri" w:cs="Tahoma"/>
          <w:sz w:val="22"/>
          <w:szCs w:val="22"/>
        </w:rPr>
        <w:t>.</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Najbardziej zagrożone i najcenniejsze obiekty zabytkowe miasta i gminy poddawane są pracom remontowo-konserwatorskim i badaniom archeologicznym. Na terenie Nowej Soli zarejestrowano 2 zabytki archeologiczne.</w:t>
      </w:r>
    </w:p>
    <w:p w:rsidR="004409B9" w:rsidRPr="00662F03" w:rsidRDefault="003203C3"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w:t>
      </w:r>
      <w:r w:rsidR="004409B9" w:rsidRPr="00662F03">
        <w:rPr>
          <w:rFonts w:ascii="Calibri" w:hAnsi="Calibri" w:cs="Tahoma"/>
          <w:sz w:val="22"/>
          <w:szCs w:val="22"/>
        </w:rPr>
        <w:t xml:space="preserve"> funduszy unijnych realiz</w:t>
      </w:r>
      <w:r w:rsidRPr="00662F03">
        <w:rPr>
          <w:rFonts w:ascii="Calibri" w:hAnsi="Calibri" w:cs="Tahoma"/>
          <w:sz w:val="22"/>
          <w:szCs w:val="22"/>
        </w:rPr>
        <w:t xml:space="preserve">owany jest </w:t>
      </w:r>
      <w:r w:rsidR="004409B9" w:rsidRPr="00662F03">
        <w:rPr>
          <w:rFonts w:ascii="Calibri" w:hAnsi="Calibri" w:cs="Tahoma"/>
          <w:sz w:val="22"/>
          <w:szCs w:val="22"/>
        </w:rPr>
        <w:t xml:space="preserve">projekt zakładający rewitalizację dzielnicy portowej w zabytkowej części miasta Nowa Sól. W ramach </w:t>
      </w:r>
      <w:r w:rsidRPr="00662F03">
        <w:rPr>
          <w:rFonts w:ascii="Calibri" w:hAnsi="Calibri" w:cs="Tahoma"/>
          <w:sz w:val="22"/>
          <w:szCs w:val="22"/>
        </w:rPr>
        <w:t>założonych prac</w:t>
      </w:r>
      <w:r w:rsidR="004409B9" w:rsidRPr="00662F03">
        <w:rPr>
          <w:rFonts w:ascii="Calibri" w:hAnsi="Calibri" w:cs="Tahoma"/>
          <w:sz w:val="22"/>
          <w:szCs w:val="22"/>
        </w:rPr>
        <w:t xml:space="preserve"> przewiduje się objęcie działaniami rewitalizacyjnymi 3 kwartałów miejskich w centralnej, zabytkowej części miasta, nieopodal portu rzecznego. To ważna dzielnica miasta pełniąca funkcje nie tylko mieszkalne, ale przede wszystkim rekreacyjno-wypoczynkowe. Dzielnica portowa jest </w:t>
      </w:r>
      <w:r w:rsidRPr="00662F03">
        <w:rPr>
          <w:rFonts w:ascii="Calibri" w:hAnsi="Calibri" w:cs="Tahoma"/>
          <w:sz w:val="22"/>
          <w:szCs w:val="22"/>
        </w:rPr>
        <w:t>chętnie</w:t>
      </w:r>
      <w:r w:rsidR="004409B9" w:rsidRPr="00662F03">
        <w:rPr>
          <w:rFonts w:ascii="Calibri" w:hAnsi="Calibri" w:cs="Tahoma"/>
          <w:sz w:val="22"/>
          <w:szCs w:val="22"/>
        </w:rPr>
        <w:t xml:space="preserve"> odwiedzana przez turystów ze względu na nowy port rzeczny i odbywające się w tym miejscu imprezy sportowo-rekreacyjne. Jej rewitalizacja jest niezbędna ze względu na potrzebę rozwoju usług na tym obszarze – jako zaplecza infrastruktury portowej.</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tle województwa uczestnictwo w życiu kulturalnym w Nowej Soli porównywane w kategoriach zwiedzający muzea i oddziały wypada gorzej dla miasta – 164 osoby w lubuskim do 112 w Nowej Soli w pr</w:t>
      </w:r>
      <w:r w:rsidR="00A34DD1" w:rsidRPr="00662F03">
        <w:rPr>
          <w:rFonts w:ascii="Calibri" w:hAnsi="Calibri" w:cs="Tahoma"/>
          <w:sz w:val="22"/>
          <w:szCs w:val="22"/>
        </w:rPr>
        <w:t>zeliczeniu na 1 000 mieszkańców. Z</w:t>
      </w:r>
      <w:r w:rsidRPr="00662F03">
        <w:rPr>
          <w:rFonts w:ascii="Calibri" w:hAnsi="Calibri" w:cs="Tahoma"/>
          <w:sz w:val="22"/>
          <w:szCs w:val="22"/>
        </w:rPr>
        <w:t>decydowanie gorzej wygląda porównanie do całego kraju, gdzie na każd</w:t>
      </w:r>
      <w:r w:rsidR="00A34DD1" w:rsidRPr="00662F03">
        <w:rPr>
          <w:rFonts w:ascii="Calibri" w:hAnsi="Calibri" w:cs="Tahoma"/>
          <w:sz w:val="22"/>
          <w:szCs w:val="22"/>
        </w:rPr>
        <w:t>y</w:t>
      </w:r>
      <w:r w:rsidRPr="00662F03">
        <w:rPr>
          <w:rFonts w:ascii="Calibri" w:hAnsi="Calibri" w:cs="Tahoma"/>
          <w:sz w:val="22"/>
          <w:szCs w:val="22"/>
        </w:rPr>
        <w:t xml:space="preserve"> 1 000 mieszkańców przypada 541 zwiedzających muzea i odziały, natomiast najsłabiej plasuje się Nowa Sól w porównaniu do miast o analogicznej liczbie mieszkańców 112/1 498 osób. Warto zaznaczyć, że uśrednione dane z porównywalnych ośrodków są zawyżone przez obecność </w:t>
      </w:r>
      <w:r w:rsidRPr="00662F03">
        <w:rPr>
          <w:rFonts w:ascii="Calibri" w:hAnsi="Calibri" w:cs="Tahoma"/>
          <w:sz w:val="22"/>
          <w:szCs w:val="22"/>
        </w:rPr>
        <w:lastRenderedPageBreak/>
        <w:t>wśród nich miejscowości, w których znajdują się muzea o krajowej, a nawet międzynarodowej sławie, jak Oświęcim, Malbork, Sanok, Żywiec czy Kołobrzeg.</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kategorii uczestnicy imprez i wydarzeń organizowanych przez lokalne ośrodki kultury Nowa Sól osiąga rezultat bardzo niski (223 osoby na 1000 mieszkańców), zarówno w porównaniu do średniej krajowej - 902 osób, do średniej województwa 961, i najgorzej wypada w porównaniu do analizowanych podobnych ośrodków – 1 317 osób na 1 000 mieszkańców.</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Nieco lepiej wygląda sytuacja w kategorii czytelnicy bibliotek publicznych, gdzie Nowa Sól wypada tylko nieznacznie gorzej (169 osób) na tle zarówno kraju (172 osoby), jak i województwa (179 osób) oraz średniej analizowanych miast o podobnej liczbie mieszkańców – 216 osób.</w:t>
      </w:r>
    </w:p>
    <w:p w:rsidR="004409B9" w:rsidRPr="00662F03" w:rsidRDefault="004409B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Poniższy wykres prezentuje uczestników życia kulturalnego w Nowej Soli na tle średniej miast o podobnej liczbie mieszkańców. Wynika z niego nieco niższa pozycja Nowej Soli wśród innych miast w kategorii czytelnicy bibliotek publicznych, bardzo niska w kategorii zwiedzający muzea i oddziały i najniższa pozycja w kategorii uczestnicy imprez i wydarzeń organizowanych przez lokalne ośrodki kultury – </w:t>
      </w:r>
      <w:r w:rsidR="00A34DD1" w:rsidRPr="00662F03">
        <w:rPr>
          <w:rFonts w:ascii="Calibri" w:hAnsi="Calibri" w:cs="Tahoma"/>
          <w:sz w:val="22"/>
          <w:szCs w:val="22"/>
        </w:rPr>
        <w:t xml:space="preserve">Nowa Sól </w:t>
      </w:r>
      <w:r w:rsidRPr="00662F03">
        <w:rPr>
          <w:rFonts w:ascii="Calibri" w:hAnsi="Calibri" w:cs="Tahoma"/>
          <w:sz w:val="22"/>
          <w:szCs w:val="22"/>
        </w:rPr>
        <w:t>zajmuje 53 miejsce na 57 badanych ośrodków.</w:t>
      </w:r>
    </w:p>
    <w:p w:rsidR="004409B9" w:rsidRPr="006A1A22" w:rsidRDefault="004409B9" w:rsidP="0072145F">
      <w:pPr>
        <w:shd w:val="clear" w:color="auto" w:fill="FFFFFF"/>
        <w:jc w:val="both"/>
        <w:outlineLvl w:val="3"/>
        <w:rPr>
          <w:rFonts w:ascii="Calibri" w:hAnsi="Calibri" w:cs="Tahoma"/>
          <w:szCs w:val="22"/>
        </w:rPr>
      </w:pPr>
      <w:bookmarkStart w:id="68" w:name="_Toc315790515"/>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46</w:t>
      </w:r>
      <w:r w:rsidR="005433B6" w:rsidRPr="00662F03">
        <w:rPr>
          <w:rFonts w:ascii="Calibri" w:hAnsi="Calibri" w:cs="Tahoma"/>
          <w:sz w:val="20"/>
          <w:szCs w:val="22"/>
        </w:rPr>
        <w:fldChar w:fldCharType="end"/>
      </w:r>
      <w:r w:rsidRPr="006A1A22">
        <w:rPr>
          <w:rFonts w:ascii="Calibri" w:hAnsi="Calibri" w:cs="Tahoma"/>
          <w:sz w:val="20"/>
          <w:szCs w:val="20"/>
        </w:rPr>
        <w:t>.</w:t>
      </w:r>
      <w:r w:rsidR="006A1A22" w:rsidRPr="006A1A22">
        <w:rPr>
          <w:bCs/>
          <w:color w:val="000000"/>
          <w:kern w:val="24"/>
          <w:sz w:val="20"/>
          <w:szCs w:val="20"/>
        </w:rPr>
        <w:t xml:space="preserve"> </w:t>
      </w:r>
      <w:r w:rsidR="006A1A22" w:rsidRPr="006A1A22">
        <w:rPr>
          <w:rFonts w:ascii="Calibri" w:hAnsi="Calibri" w:cs="Tahoma"/>
          <w:bCs/>
          <w:sz w:val="20"/>
          <w:szCs w:val="20"/>
        </w:rPr>
        <w:t>Uczestnicy życia kulturalnego w Nowej Soli w przeliczeniu na 1000 mieszkańców na tle miast o porównywalnej liczbie mieszkańców, województwa oraz kraju w 2009 roku</w:t>
      </w:r>
      <w:r w:rsidR="006A1A22" w:rsidRPr="006A1A22">
        <w:rPr>
          <w:rFonts w:ascii="Calibri" w:hAnsi="Calibri" w:cs="Tahoma"/>
          <w:sz w:val="20"/>
          <w:szCs w:val="20"/>
        </w:rPr>
        <w:t>.</w:t>
      </w:r>
      <w:bookmarkEnd w:id="68"/>
    </w:p>
    <w:p w:rsidR="004409B9" w:rsidRPr="00662F03" w:rsidRDefault="005B1628" w:rsidP="0072145F">
      <w:pPr>
        <w:autoSpaceDE w:val="0"/>
        <w:autoSpaceDN w:val="0"/>
        <w:adjustRightInd w:val="0"/>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126467" cy="3215250"/>
            <wp:effectExtent l="19050" t="0" r="17033" b="4200"/>
            <wp:docPr id="61"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4409B9" w:rsidRDefault="004409B9" w:rsidP="0072145F">
      <w:pPr>
        <w:shd w:val="clear" w:color="auto" w:fill="FFFFFF"/>
        <w:jc w:val="both"/>
        <w:outlineLvl w:val="3"/>
        <w:rPr>
          <w:rFonts w:ascii="Calibri" w:hAnsi="Calibri" w:cs="Tahoma"/>
          <w:sz w:val="20"/>
          <w:szCs w:val="22"/>
        </w:rPr>
      </w:pPr>
      <w:r w:rsidRPr="00662F03">
        <w:rPr>
          <w:rFonts w:ascii="Calibri" w:hAnsi="Calibri" w:cs="Tahoma"/>
          <w:sz w:val="20"/>
          <w:szCs w:val="22"/>
        </w:rPr>
        <w:t xml:space="preserve">Źródło: </w:t>
      </w:r>
      <w:r w:rsidR="000A1556" w:rsidRPr="00662F03">
        <w:rPr>
          <w:rFonts w:ascii="Calibri" w:hAnsi="Calibri" w:cs="Tahoma"/>
          <w:sz w:val="20"/>
          <w:szCs w:val="22"/>
        </w:rPr>
        <w:t>opracowanie własne na podstawie danych</w:t>
      </w:r>
      <w:r w:rsidRPr="00662F03">
        <w:rPr>
          <w:rFonts w:ascii="Calibri" w:hAnsi="Calibri" w:cs="Tahoma"/>
          <w:sz w:val="20"/>
          <w:szCs w:val="22"/>
        </w:rPr>
        <w:t xml:space="preserve"> GUS</w:t>
      </w:r>
      <w:r w:rsidR="004A24CA">
        <w:rPr>
          <w:rFonts w:ascii="Calibri" w:hAnsi="Calibri"/>
          <w:sz w:val="20"/>
        </w:rPr>
        <w:t>, Bank Danych Lokalnych</w:t>
      </w:r>
      <w:r w:rsidR="000A1556" w:rsidRPr="00662F03">
        <w:rPr>
          <w:rFonts w:ascii="Calibri" w:hAnsi="Calibri" w:cs="Tahoma"/>
          <w:sz w:val="20"/>
          <w:szCs w:val="22"/>
        </w:rPr>
        <w:t>.</w:t>
      </w:r>
    </w:p>
    <w:p w:rsidR="004409B9" w:rsidRPr="006A1A22" w:rsidRDefault="00295383" w:rsidP="0072145F">
      <w:pPr>
        <w:shd w:val="clear" w:color="auto" w:fill="FFFFFF"/>
        <w:jc w:val="both"/>
        <w:outlineLvl w:val="3"/>
        <w:rPr>
          <w:rFonts w:ascii="Calibri" w:hAnsi="Calibri" w:cs="Tahoma"/>
          <w:szCs w:val="22"/>
        </w:rPr>
      </w:pPr>
      <w:r>
        <w:rPr>
          <w:rFonts w:ascii="Calibri" w:hAnsi="Calibri" w:cs="Tahoma"/>
          <w:sz w:val="20"/>
          <w:szCs w:val="22"/>
        </w:rPr>
        <w:br w:type="page"/>
      </w:r>
      <w:bookmarkStart w:id="69" w:name="_Toc315790516"/>
      <w:r w:rsidR="000A1556"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000A1556"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47</w:t>
      </w:r>
      <w:r w:rsidR="005433B6" w:rsidRPr="00662F03">
        <w:rPr>
          <w:rFonts w:ascii="Calibri" w:hAnsi="Calibri" w:cs="Tahoma"/>
          <w:sz w:val="20"/>
          <w:szCs w:val="22"/>
        </w:rPr>
        <w:fldChar w:fldCharType="end"/>
      </w:r>
      <w:r w:rsidR="000A1556" w:rsidRPr="00662F03">
        <w:rPr>
          <w:rFonts w:ascii="Calibri" w:hAnsi="Calibri" w:cs="Tahoma"/>
          <w:sz w:val="20"/>
          <w:szCs w:val="22"/>
        </w:rPr>
        <w:t>.</w:t>
      </w:r>
      <w:r w:rsidR="006A1A22" w:rsidRPr="006A1A22">
        <w:rPr>
          <w:b/>
          <w:bCs/>
          <w:color w:val="000000"/>
          <w:kern w:val="24"/>
          <w:sz w:val="18"/>
          <w:szCs w:val="18"/>
        </w:rPr>
        <w:t xml:space="preserve"> </w:t>
      </w:r>
      <w:r w:rsidR="006A1A22" w:rsidRPr="006A1A22">
        <w:rPr>
          <w:rFonts w:ascii="Calibri" w:hAnsi="Calibri" w:cs="Tahoma"/>
          <w:bCs/>
          <w:sz w:val="20"/>
          <w:szCs w:val="22"/>
        </w:rPr>
        <w:t>Zwiedzający muzea i oddziały w Nowej Soli w przeliczeniu na 1000 mieszkańców na tle miast o porównywalnej liczbie mieszkańców, województwa oraz kraju w 2009 r.</w:t>
      </w:r>
      <w:bookmarkEnd w:id="69"/>
    </w:p>
    <w:p w:rsidR="004409B9" w:rsidRPr="00662F03" w:rsidRDefault="005B1628" w:rsidP="0072145F">
      <w:pPr>
        <w:autoSpaceDE w:val="0"/>
        <w:autoSpaceDN w:val="0"/>
        <w:adjustRightInd w:val="0"/>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119733" cy="3244977"/>
            <wp:effectExtent l="19050" t="0" r="23767" b="0"/>
            <wp:docPr id="62"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8522CD" w:rsidRDefault="00645D4B" w:rsidP="0072145F">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295383" w:rsidRDefault="00295383" w:rsidP="0072145F">
      <w:pPr>
        <w:shd w:val="clear" w:color="auto" w:fill="FFFFFF"/>
        <w:jc w:val="both"/>
        <w:outlineLvl w:val="3"/>
        <w:rPr>
          <w:rFonts w:ascii="Calibri" w:hAnsi="Calibri" w:cs="Tahoma"/>
          <w:sz w:val="20"/>
          <w:szCs w:val="22"/>
        </w:rPr>
      </w:pPr>
    </w:p>
    <w:p w:rsidR="000A1556" w:rsidRPr="006A1A22" w:rsidRDefault="000A1556" w:rsidP="0072145F">
      <w:pPr>
        <w:shd w:val="clear" w:color="auto" w:fill="FFFFFF"/>
        <w:jc w:val="both"/>
        <w:outlineLvl w:val="3"/>
        <w:rPr>
          <w:rFonts w:ascii="Calibri" w:hAnsi="Calibri" w:cs="Tahoma"/>
          <w:szCs w:val="22"/>
        </w:rPr>
      </w:pPr>
      <w:bookmarkStart w:id="70" w:name="_Toc315790517"/>
      <w:r w:rsidRPr="00662F03">
        <w:rPr>
          <w:rFonts w:ascii="Calibri" w:hAnsi="Calibri" w:cs="Tahoma"/>
          <w:sz w:val="20"/>
          <w:szCs w:val="22"/>
        </w:rPr>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48</w:t>
      </w:r>
      <w:r w:rsidR="005433B6" w:rsidRPr="00662F03">
        <w:rPr>
          <w:rFonts w:ascii="Calibri" w:hAnsi="Calibri" w:cs="Tahoma"/>
          <w:sz w:val="20"/>
          <w:szCs w:val="22"/>
        </w:rPr>
        <w:fldChar w:fldCharType="end"/>
      </w:r>
      <w:r w:rsidRPr="00662F03">
        <w:rPr>
          <w:rFonts w:ascii="Calibri" w:hAnsi="Calibri" w:cs="Tahoma"/>
          <w:sz w:val="20"/>
          <w:szCs w:val="22"/>
        </w:rPr>
        <w:t>.</w:t>
      </w:r>
      <w:r w:rsidR="006A1A22" w:rsidRPr="006A1A22">
        <w:rPr>
          <w:b/>
          <w:bCs/>
          <w:color w:val="000000"/>
          <w:kern w:val="24"/>
          <w:sz w:val="18"/>
          <w:szCs w:val="18"/>
        </w:rPr>
        <w:t xml:space="preserve"> </w:t>
      </w:r>
      <w:r w:rsidR="006A1A22" w:rsidRPr="006A1A22">
        <w:rPr>
          <w:rFonts w:ascii="Calibri" w:hAnsi="Calibri" w:cs="Tahoma"/>
          <w:bCs/>
          <w:sz w:val="20"/>
          <w:szCs w:val="22"/>
        </w:rPr>
        <w:t>Czytelnicy bibliotek publicznych w Nowej Soli w przeliczeniu na 1000 mieszkańców na tle miast o porównywalnej liczbie mieszkańców, województwa oraz kraju w 2009 roku.</w:t>
      </w:r>
      <w:bookmarkEnd w:id="70"/>
    </w:p>
    <w:p w:rsidR="004409B9" w:rsidRPr="00662F03" w:rsidRDefault="005B1628" w:rsidP="0072145F">
      <w:pPr>
        <w:autoSpaceDE w:val="0"/>
        <w:autoSpaceDN w:val="0"/>
        <w:adjustRightInd w:val="0"/>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066919" cy="3385439"/>
            <wp:effectExtent l="19050" t="0" r="19431" b="5461"/>
            <wp:docPr id="63"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645D4B" w:rsidRDefault="00645D4B" w:rsidP="0072145F">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0A1556" w:rsidRPr="006A1A22" w:rsidRDefault="00295383" w:rsidP="0072145F">
      <w:pPr>
        <w:shd w:val="clear" w:color="auto" w:fill="FFFFFF"/>
        <w:jc w:val="both"/>
        <w:outlineLvl w:val="3"/>
        <w:rPr>
          <w:rFonts w:ascii="Calibri" w:hAnsi="Calibri" w:cs="Tahoma"/>
          <w:szCs w:val="22"/>
        </w:rPr>
      </w:pPr>
      <w:r>
        <w:rPr>
          <w:rFonts w:ascii="Calibri" w:hAnsi="Calibri" w:cs="Tahoma"/>
          <w:sz w:val="20"/>
          <w:szCs w:val="22"/>
        </w:rPr>
        <w:br w:type="page"/>
      </w:r>
      <w:bookmarkStart w:id="71" w:name="_Toc315790518"/>
      <w:r w:rsidR="000A1556"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000A1556"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49</w:t>
      </w:r>
      <w:r w:rsidR="005433B6" w:rsidRPr="00662F03">
        <w:rPr>
          <w:rFonts w:ascii="Calibri" w:hAnsi="Calibri" w:cs="Tahoma"/>
          <w:sz w:val="20"/>
          <w:szCs w:val="22"/>
        </w:rPr>
        <w:fldChar w:fldCharType="end"/>
      </w:r>
      <w:r w:rsidR="000A1556" w:rsidRPr="00662F03">
        <w:rPr>
          <w:rFonts w:ascii="Calibri" w:hAnsi="Calibri" w:cs="Tahoma"/>
          <w:sz w:val="20"/>
          <w:szCs w:val="22"/>
        </w:rPr>
        <w:t>.</w:t>
      </w:r>
      <w:r w:rsidR="006A1A22" w:rsidRPr="006A1A22">
        <w:rPr>
          <w:rFonts w:ascii="Calibri" w:hAnsi="Calibri"/>
          <w:b/>
          <w:bCs/>
          <w:color w:val="000000"/>
          <w:kern w:val="24"/>
          <w:sz w:val="18"/>
          <w:szCs w:val="18"/>
        </w:rPr>
        <w:t xml:space="preserve"> </w:t>
      </w:r>
      <w:r w:rsidR="006A1A22" w:rsidRPr="006A1A22">
        <w:rPr>
          <w:rFonts w:ascii="Calibri" w:hAnsi="Calibri" w:cs="Tahoma"/>
          <w:bCs/>
          <w:sz w:val="20"/>
          <w:szCs w:val="22"/>
        </w:rPr>
        <w:t>Uczestnicy imprez i wydarzeń organizowanych przez lokalne ośrodki kultury w Nowej Soli w przeliczeniu na 1000 mieszkańców na tle miast o porównywalnej liczbie mieszkańców, województwa oraz kraju w 2009 roku</w:t>
      </w:r>
      <w:r w:rsidR="006A1A22">
        <w:rPr>
          <w:rFonts w:ascii="Calibri" w:hAnsi="Calibri" w:cs="Tahoma"/>
          <w:bCs/>
          <w:sz w:val="20"/>
          <w:szCs w:val="22"/>
        </w:rPr>
        <w:t>.</w:t>
      </w:r>
      <w:bookmarkEnd w:id="71"/>
    </w:p>
    <w:p w:rsidR="004409B9" w:rsidRPr="00662F03" w:rsidRDefault="005B1628" w:rsidP="0072145F">
      <w:pPr>
        <w:autoSpaceDE w:val="0"/>
        <w:autoSpaceDN w:val="0"/>
        <w:adjustRightInd w:val="0"/>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066919" cy="3215259"/>
            <wp:effectExtent l="19050" t="0" r="19431" b="4191"/>
            <wp:docPr id="64"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645D4B" w:rsidRPr="00662F03" w:rsidRDefault="00645D4B" w:rsidP="0072145F">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856BD1" w:rsidRDefault="00856BD1" w:rsidP="0072145F">
      <w:pPr>
        <w:rPr>
          <w:rFonts w:ascii="Calibri" w:hAnsi="Calibri"/>
          <w:sz w:val="20"/>
          <w:szCs w:val="22"/>
        </w:rPr>
      </w:pPr>
    </w:p>
    <w:p w:rsidR="00295383" w:rsidRPr="00662F03" w:rsidRDefault="00295383" w:rsidP="004E5A9A">
      <w:pPr>
        <w:rPr>
          <w:rFonts w:ascii="Calibri" w:hAnsi="Calibri"/>
          <w:sz w:val="20"/>
          <w:szCs w:val="22"/>
        </w:rPr>
      </w:pPr>
    </w:p>
    <w:p w:rsidR="004717D3" w:rsidRPr="00662F03" w:rsidRDefault="005433B6" w:rsidP="004E5A9A">
      <w:pPr>
        <w:rPr>
          <w:rFonts w:ascii="Calibri" w:hAnsi="Calibri"/>
          <w:sz w:val="20"/>
          <w:szCs w:val="22"/>
        </w:rPr>
      </w:pPr>
      <w:r w:rsidRPr="005433B6">
        <w:rPr>
          <w:rFonts w:ascii="Calibri" w:hAnsi="Calibri"/>
        </w:rPr>
      </w:r>
      <w:r w:rsidR="00072369" w:rsidRPr="005433B6">
        <w:rPr>
          <w:rFonts w:ascii="Calibri" w:hAnsi="Calibri"/>
        </w:rPr>
        <w:pict>
          <v:roundrect id="_x0000_s1040"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40;mso-fit-shape-to-text:t" inset=",,36pt,18pt">
              <w:txbxContent>
                <w:p w:rsidR="00D24064" w:rsidRPr="00EC0E96" w:rsidRDefault="00D24064" w:rsidP="0039174D">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39174D" w:rsidRPr="008522CD" w:rsidRDefault="0039174D" w:rsidP="0039174D">
      <w:pPr>
        <w:shd w:val="clear" w:color="auto" w:fill="FFFFFF"/>
        <w:spacing w:before="150" w:after="75"/>
        <w:jc w:val="both"/>
        <w:outlineLvl w:val="3"/>
        <w:rPr>
          <w:rFonts w:ascii="Calibri" w:hAnsi="Calibri" w:cs="Tahoma"/>
          <w:shadow/>
          <w:color w:val="808080"/>
          <w:sz w:val="22"/>
        </w:rPr>
      </w:pPr>
      <w:r w:rsidRPr="008522CD">
        <w:rPr>
          <w:rFonts w:ascii="Calibri" w:hAnsi="Calibri" w:cs="Tahoma"/>
          <w:shadow/>
          <w:color w:val="808080"/>
          <w:sz w:val="22"/>
        </w:rPr>
        <w:t>Mieszkańcy miasta twierdzą, że oferta kulturalna miasta jest dla nich interesująca. Nie jest to jednak opinia jednoznaczna. Większość ważoną stanowi zaledwie 54%. Mniej o tym są przekonane kobiety niż mężczyźni. Zupełnie przeciwnego zdania niż większość są osoby z wyższym wykształceniem. Zaledwie 31% z nich jest zadowolonych z oferty kulturalnej miasta. Także grupa osób w wieku 30-39 lat niezadowolona z oferty kulturalnej. Większość ocenia, że oferta kulturalna jest mniej ważna niż inne kryteria oceny atrakcyjności miasta. Tak samo jest ważna dla kobiet i mężczyzn, oraz dla osób z wyższym wykształceniem i zasadniczym zawodowym lub poniżej, mniej dla osób ze średnim lub policealnym. Waga oferty kulturalnej w ocenie atrakcyjności miasta jako miejsca zamieszkania spada wraz z wiekiem.</w:t>
      </w:r>
    </w:p>
    <w:p w:rsidR="0039174D" w:rsidRPr="008522CD" w:rsidRDefault="0039174D" w:rsidP="0039174D">
      <w:pPr>
        <w:shd w:val="clear" w:color="auto" w:fill="FFFFFF"/>
        <w:spacing w:before="150" w:after="75"/>
        <w:jc w:val="both"/>
        <w:outlineLvl w:val="3"/>
        <w:rPr>
          <w:rFonts w:ascii="Calibri" w:hAnsi="Calibri" w:cs="Tahoma"/>
          <w:shadow/>
          <w:color w:val="808080"/>
          <w:sz w:val="22"/>
        </w:rPr>
      </w:pPr>
      <w:r w:rsidRPr="008522CD">
        <w:rPr>
          <w:rFonts w:ascii="Calibri" w:hAnsi="Calibri" w:cs="Tahoma"/>
          <w:b/>
          <w:shadow/>
          <w:color w:val="808080"/>
          <w:sz w:val="22"/>
        </w:rPr>
        <w:t>Wnioski:</w:t>
      </w:r>
      <w:r w:rsidRPr="008522CD">
        <w:rPr>
          <w:rFonts w:ascii="Calibri" w:hAnsi="Calibri" w:cs="Tahoma"/>
          <w:shadow/>
          <w:color w:val="808080"/>
          <w:sz w:val="22"/>
        </w:rPr>
        <w:t xml:space="preserve"> Oferta kulturalna miasta nie jest jednoznacznie uważana an</w:t>
      </w:r>
      <w:r w:rsidR="007D6524" w:rsidRPr="008522CD">
        <w:rPr>
          <w:rFonts w:ascii="Calibri" w:hAnsi="Calibri" w:cs="Tahoma"/>
          <w:shadow/>
          <w:color w:val="808080"/>
          <w:sz w:val="22"/>
        </w:rPr>
        <w:t>i za mocną ani za słabą stronę.</w:t>
      </w:r>
      <w:r w:rsidRPr="008522CD">
        <w:rPr>
          <w:rFonts w:ascii="Calibri" w:hAnsi="Calibri" w:cs="Tahoma"/>
          <w:shadow/>
          <w:color w:val="808080"/>
          <w:sz w:val="22"/>
        </w:rPr>
        <w:t xml:space="preserve"> Według osób z wyższym wykształceniem miasto nie ma interesującej oferty kulturalnej. Podobnie uważają obywatele w wieku 30-39 lat. W strategii powinno się uwzględnić ten fakt, wzmacniając działania na rzecz podnoszenia jakości oferty kulturalnej kierowanej do osób z wyższym wykształceniem oraz do grupy wiekowej 30-39</w:t>
      </w:r>
      <w:r w:rsidR="007D6524" w:rsidRPr="008522CD">
        <w:rPr>
          <w:rFonts w:ascii="Calibri" w:hAnsi="Calibri" w:cs="Tahoma"/>
          <w:shadow/>
          <w:color w:val="808080"/>
          <w:sz w:val="22"/>
        </w:rPr>
        <w:t xml:space="preserve"> lat</w:t>
      </w:r>
      <w:r w:rsidRPr="008522CD">
        <w:rPr>
          <w:rFonts w:ascii="Calibri" w:hAnsi="Calibri" w:cs="Tahoma"/>
          <w:shadow/>
          <w:color w:val="808080"/>
          <w:sz w:val="22"/>
        </w:rPr>
        <w:t>. Oferta kulturalna jest także ważna dla osób z wykształceniem zasadniczym zawodowym i osób młodych. Oceniają ją dobrze, a zatem należy wykorzystać to jako szansę rozwoju.</w:t>
      </w:r>
    </w:p>
    <w:p w:rsidR="0039174D" w:rsidRPr="006A1A22" w:rsidRDefault="00295383" w:rsidP="007D6524">
      <w:pPr>
        <w:pStyle w:val="Legenda"/>
        <w:rPr>
          <w:rFonts w:ascii="Calibri" w:hAnsi="Calibri" w:cs="Tahoma"/>
          <w:b w:val="0"/>
          <w:shadow/>
          <w:color w:val="808080"/>
          <w:sz w:val="18"/>
        </w:rPr>
      </w:pPr>
      <w:r>
        <w:rPr>
          <w:rFonts w:ascii="Calibri" w:hAnsi="Calibri" w:cs="Tahoma"/>
          <w:b w:val="0"/>
          <w:bCs w:val="0"/>
          <w:shadow/>
          <w:color w:val="808080"/>
          <w:sz w:val="22"/>
          <w:szCs w:val="24"/>
        </w:rPr>
        <w:br w:type="page"/>
      </w:r>
      <w:bookmarkStart w:id="72" w:name="_Toc315790519"/>
      <w:r w:rsidR="007D6524" w:rsidRPr="006A1A22">
        <w:rPr>
          <w:rFonts w:ascii="Calibri" w:hAnsi="Calibri"/>
          <w:b w:val="0"/>
          <w:sz w:val="18"/>
        </w:rPr>
        <w:lastRenderedPageBreak/>
        <w:t xml:space="preserve">Wykres </w:t>
      </w:r>
      <w:r w:rsidR="005433B6" w:rsidRPr="006A1A22">
        <w:rPr>
          <w:rFonts w:ascii="Calibri" w:hAnsi="Calibri"/>
          <w:b w:val="0"/>
          <w:sz w:val="18"/>
        </w:rPr>
        <w:fldChar w:fldCharType="begin"/>
      </w:r>
      <w:r w:rsidR="007D6524"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50</w:t>
      </w:r>
      <w:r w:rsidR="005433B6" w:rsidRPr="006A1A22">
        <w:rPr>
          <w:rFonts w:ascii="Calibri" w:hAnsi="Calibri"/>
          <w:b w:val="0"/>
          <w:sz w:val="18"/>
        </w:rPr>
        <w:fldChar w:fldCharType="end"/>
      </w:r>
      <w:r w:rsidR="007D6524"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mieście oferta kulturalna jest interesująca.</w:t>
      </w:r>
      <w:bookmarkEnd w:id="72"/>
    </w:p>
    <w:p w:rsidR="0039174D" w:rsidRPr="00662F03" w:rsidRDefault="005B1628" w:rsidP="008522CD">
      <w:pPr>
        <w:jc w:val="center"/>
        <w:rPr>
          <w:rFonts w:ascii="Calibri" w:hAnsi="Calibri"/>
        </w:rPr>
      </w:pPr>
      <w:r>
        <w:rPr>
          <w:rFonts w:ascii="Calibri" w:hAnsi="Calibri"/>
          <w:noProof/>
        </w:rPr>
        <w:drawing>
          <wp:inline distT="0" distB="0" distL="0" distR="0">
            <wp:extent cx="4874142" cy="2856983"/>
            <wp:effectExtent l="19050" t="0" r="21708" b="517"/>
            <wp:docPr id="66" name="Wykre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7D6524" w:rsidRPr="006A1A22" w:rsidRDefault="007D6524" w:rsidP="006A1A22">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8522CD" w:rsidRPr="006A1A22" w:rsidRDefault="008522CD" w:rsidP="006A1A22">
      <w:pPr>
        <w:jc w:val="both"/>
        <w:rPr>
          <w:rFonts w:ascii="Calibri" w:hAnsi="Calibri"/>
          <w:sz w:val="22"/>
        </w:rPr>
      </w:pPr>
    </w:p>
    <w:p w:rsidR="007D6524" w:rsidRPr="006A1A22" w:rsidRDefault="007D6524" w:rsidP="006A1A22">
      <w:pPr>
        <w:pStyle w:val="Legenda"/>
        <w:jc w:val="both"/>
        <w:rPr>
          <w:rFonts w:ascii="Calibri" w:hAnsi="Calibri"/>
          <w:b w:val="0"/>
          <w:sz w:val="18"/>
        </w:rPr>
      </w:pPr>
      <w:bookmarkStart w:id="73" w:name="_Toc315790520"/>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51</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oferta kulturalna ma znaczenie w atrakcyjności miasta jako miejsca zamieszkania.</w:t>
      </w:r>
      <w:bookmarkEnd w:id="73"/>
    </w:p>
    <w:p w:rsidR="0039174D" w:rsidRPr="00662F03" w:rsidRDefault="005B1628" w:rsidP="008522CD">
      <w:pPr>
        <w:jc w:val="center"/>
        <w:rPr>
          <w:rFonts w:ascii="Calibri" w:hAnsi="Calibri"/>
        </w:rPr>
      </w:pPr>
      <w:r>
        <w:rPr>
          <w:rFonts w:ascii="Calibri" w:hAnsi="Calibri"/>
          <w:noProof/>
        </w:rPr>
        <w:drawing>
          <wp:inline distT="0" distB="0" distL="0" distR="0">
            <wp:extent cx="4782259" cy="2615610"/>
            <wp:effectExtent l="19050" t="0" r="18341" b="0"/>
            <wp:docPr id="67" name="Wykre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717D3" w:rsidRPr="009E4642" w:rsidRDefault="007D6524" w:rsidP="009E4642">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3616F2" w:rsidRPr="00662F03" w:rsidRDefault="005433B6" w:rsidP="004E5A9A">
      <w:pPr>
        <w:rPr>
          <w:rFonts w:ascii="Calibri" w:hAnsi="Calibri"/>
          <w:sz w:val="20"/>
          <w:szCs w:val="22"/>
        </w:rPr>
      </w:pPr>
      <w:r>
        <w:rPr>
          <w:rFonts w:ascii="Calibri" w:hAnsi="Calibri"/>
          <w:sz w:val="20"/>
          <w:szCs w:val="22"/>
        </w:rPr>
      </w:r>
      <w:r w:rsidR="00D24064">
        <w:rPr>
          <w:rFonts w:ascii="Calibri" w:hAnsi="Calibri"/>
          <w:sz w:val="20"/>
          <w:szCs w:val="22"/>
        </w:rPr>
        <w:pict>
          <v:rect id="_x0000_s1039" style="width:449.8pt;height:156.85pt;rotation:-360;mso-position-horizontal-relative:char;mso-position-vertical-relative:line" o:allowincell="f" fillcolor="#a7bfde" stroked="f">
            <v:fill opacity="13107f"/>
            <v:imagedata embosscolor="shadow add(51)"/>
            <v:shadow on="t" color="#d4cfb3" opacity=".5" offset="19pt,-21pt" offset2="26pt,-30pt"/>
            <v:textbox style="mso-next-textbox:#_x0000_s1039;mso-fit-shape-to-text:t" inset="28.8pt,7.2pt,14.4pt,28.8pt">
              <w:txbxContent>
                <w:p w:rsidR="00D24064" w:rsidRPr="00EC0E96" w:rsidRDefault="00D24064" w:rsidP="003616F2">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Default="00D24064" w:rsidP="003616F2">
                  <w:pPr>
                    <w:jc w:val="both"/>
                    <w:rPr>
                      <w:rFonts w:ascii="Calibri" w:hAnsi="Calibri"/>
                      <w:i/>
                      <w:iCs/>
                      <w:color w:val="1F497D"/>
                      <w:sz w:val="22"/>
                      <w:szCs w:val="28"/>
                    </w:rPr>
                  </w:pPr>
                  <w:r w:rsidRPr="00EC0E96">
                    <w:rPr>
                      <w:rFonts w:ascii="Calibri" w:hAnsi="Calibri"/>
                      <w:i/>
                      <w:iCs/>
                      <w:color w:val="1F497D"/>
                      <w:sz w:val="22"/>
                      <w:szCs w:val="28"/>
                    </w:rPr>
                    <w:t>Kultura nowosolska nie zapewnia różnorodności wydarze</w:t>
                  </w:r>
                  <w:r>
                    <w:rPr>
                      <w:rFonts w:ascii="Calibri" w:hAnsi="Calibri"/>
                      <w:i/>
                      <w:iCs/>
                      <w:color w:val="1F497D"/>
                      <w:sz w:val="22"/>
                      <w:szCs w:val="28"/>
                    </w:rPr>
                    <w:t xml:space="preserve">ń i przedsięwzięć kulturalnych. </w:t>
                  </w:r>
                  <w:r w:rsidRPr="00EC0E96">
                    <w:rPr>
                      <w:rFonts w:ascii="Calibri" w:hAnsi="Calibri"/>
                      <w:i/>
                      <w:iCs/>
                      <w:color w:val="1F497D"/>
                      <w:sz w:val="22"/>
                      <w:szCs w:val="28"/>
                    </w:rPr>
                    <w:t>Uczestnictwo w przedsięwzięciach kulturalnych jest na dużo niższym poziomie niż w porównywanych miastach, województwie czy kraju.</w:t>
                  </w:r>
                </w:p>
                <w:p w:rsidR="00D24064" w:rsidRPr="00EC0E96" w:rsidRDefault="00D24064" w:rsidP="003616F2">
                  <w:pPr>
                    <w:jc w:val="both"/>
                    <w:rPr>
                      <w:rFonts w:ascii="Calibri" w:hAnsi="Calibri"/>
                      <w:i/>
                      <w:iCs/>
                      <w:color w:val="1F497D"/>
                      <w:sz w:val="22"/>
                      <w:szCs w:val="28"/>
                    </w:rPr>
                  </w:pPr>
                  <w:r>
                    <w:rPr>
                      <w:rFonts w:ascii="Calibri" w:hAnsi="Calibri"/>
                      <w:i/>
                      <w:iCs/>
                      <w:color w:val="1F497D"/>
                      <w:sz w:val="22"/>
                      <w:szCs w:val="28"/>
                    </w:rPr>
                    <w:t>Na rozwój kultury w mieście największy wpływ mają: nowoczesna Biblioteka Miejska, aktywnie działające Muzeum Miejskiej oraz Szkoła Muzyczna.</w:t>
                  </w:r>
                </w:p>
                <w:p w:rsidR="00D24064" w:rsidRPr="00EC0E96" w:rsidRDefault="00D24064" w:rsidP="003616F2">
                  <w:pPr>
                    <w:jc w:val="both"/>
                    <w:rPr>
                      <w:rFonts w:ascii="Calibri" w:hAnsi="Calibri"/>
                      <w:i/>
                      <w:iCs/>
                      <w:color w:val="1F497D"/>
                      <w:sz w:val="22"/>
                      <w:szCs w:val="28"/>
                    </w:rPr>
                  </w:pPr>
                  <w:r w:rsidRPr="00B3175C">
                    <w:rPr>
                      <w:rFonts w:ascii="Calibri" w:hAnsi="Calibri"/>
                      <w:i/>
                      <w:iCs/>
                      <w:color w:val="1F497D"/>
                      <w:sz w:val="22"/>
                      <w:szCs w:val="28"/>
                    </w:rPr>
                    <w:t xml:space="preserve">Stan techniczny Nowosolskiego Ośrodka Kultury jest zły. </w:t>
                  </w:r>
                  <w:r w:rsidRPr="00EC0E96">
                    <w:rPr>
                      <w:rFonts w:ascii="Calibri" w:hAnsi="Calibri"/>
                      <w:i/>
                      <w:iCs/>
                      <w:color w:val="1F497D"/>
                      <w:sz w:val="22"/>
                      <w:szCs w:val="28"/>
                    </w:rPr>
                    <w:t>Rozbudowa i unowocześnienie instytucji kultury pomoże zapewnić dalszy rozwój.</w:t>
                  </w:r>
                </w:p>
                <w:p w:rsidR="00D24064" w:rsidRDefault="00D24064" w:rsidP="003616F2">
                  <w:pPr>
                    <w:jc w:val="both"/>
                    <w:rPr>
                      <w:rFonts w:ascii="Calibri" w:hAnsi="Calibri"/>
                      <w:i/>
                      <w:iCs/>
                      <w:color w:val="1F497D"/>
                      <w:sz w:val="22"/>
                      <w:szCs w:val="28"/>
                    </w:rPr>
                  </w:pPr>
                  <w:r w:rsidRPr="00EC0E96">
                    <w:rPr>
                      <w:rFonts w:ascii="Calibri" w:hAnsi="Calibri"/>
                      <w:i/>
                      <w:iCs/>
                      <w:color w:val="1F497D"/>
                      <w:sz w:val="22"/>
                      <w:szCs w:val="28"/>
                    </w:rPr>
                    <w:t>Komplementarną ofertę przedsięwzięć kulturalnych zapewniają pozostałe miasta należące do Lubuskiego Trójmiasta – Zielona Góra i Sulechów.</w:t>
                  </w:r>
                </w:p>
                <w:p w:rsidR="00D24064" w:rsidRPr="00EC0E96" w:rsidRDefault="00D24064" w:rsidP="003616F2">
                  <w:pPr>
                    <w:jc w:val="both"/>
                    <w:rPr>
                      <w:rFonts w:ascii="Calibri" w:hAnsi="Calibri"/>
                      <w:i/>
                      <w:iCs/>
                      <w:color w:val="1F497D"/>
                      <w:sz w:val="22"/>
                      <w:szCs w:val="28"/>
                    </w:rPr>
                  </w:pPr>
                  <w:r w:rsidRPr="00EC0E96">
                    <w:rPr>
                      <w:rFonts w:ascii="Calibri" w:hAnsi="Calibri"/>
                      <w:i/>
                      <w:iCs/>
                      <w:color w:val="1F497D"/>
                      <w:sz w:val="22"/>
                      <w:szCs w:val="28"/>
                    </w:rPr>
                    <w:t xml:space="preserve">Budowa tożsamości kulturalnej regionu </w:t>
                  </w:r>
                  <w:r>
                    <w:rPr>
                      <w:rFonts w:ascii="Calibri" w:hAnsi="Calibri"/>
                      <w:i/>
                      <w:iCs/>
                      <w:color w:val="1F497D"/>
                      <w:sz w:val="22"/>
                      <w:szCs w:val="28"/>
                    </w:rPr>
                    <w:t>jest związana z</w:t>
                  </w:r>
                  <w:r w:rsidRPr="00EC0E96">
                    <w:rPr>
                      <w:rFonts w:ascii="Calibri" w:hAnsi="Calibri"/>
                      <w:i/>
                      <w:iCs/>
                      <w:color w:val="1F497D"/>
                      <w:sz w:val="22"/>
                      <w:szCs w:val="28"/>
                    </w:rPr>
                    <w:t xml:space="preserve"> unikatow</w:t>
                  </w:r>
                  <w:r>
                    <w:rPr>
                      <w:rFonts w:ascii="Calibri" w:hAnsi="Calibri"/>
                      <w:i/>
                      <w:iCs/>
                      <w:color w:val="1F497D"/>
                      <w:sz w:val="22"/>
                      <w:szCs w:val="28"/>
                    </w:rPr>
                    <w:t>ą</w:t>
                  </w:r>
                  <w:r w:rsidRPr="00EC0E96">
                    <w:rPr>
                      <w:rFonts w:ascii="Calibri" w:hAnsi="Calibri"/>
                      <w:i/>
                      <w:iCs/>
                      <w:color w:val="1F497D"/>
                      <w:sz w:val="22"/>
                      <w:szCs w:val="28"/>
                    </w:rPr>
                    <w:t xml:space="preserve"> ce</w:t>
                  </w:r>
                  <w:r>
                    <w:rPr>
                      <w:rFonts w:ascii="Calibri" w:hAnsi="Calibri"/>
                      <w:i/>
                      <w:iCs/>
                      <w:color w:val="1F497D"/>
                      <w:sz w:val="22"/>
                      <w:szCs w:val="28"/>
                    </w:rPr>
                    <w:t>chą</w:t>
                  </w:r>
                  <w:r w:rsidRPr="00EC0E96">
                    <w:rPr>
                      <w:rFonts w:ascii="Calibri" w:hAnsi="Calibri"/>
                      <w:i/>
                      <w:iCs/>
                      <w:color w:val="1F497D"/>
                      <w:sz w:val="22"/>
                      <w:szCs w:val="28"/>
                    </w:rPr>
                    <w:t xml:space="preserve"> regionu – tradycja</w:t>
                  </w:r>
                  <w:r>
                    <w:rPr>
                      <w:rFonts w:ascii="Calibri" w:hAnsi="Calibri"/>
                      <w:i/>
                      <w:iCs/>
                      <w:color w:val="1F497D"/>
                      <w:sz w:val="22"/>
                      <w:szCs w:val="28"/>
                    </w:rPr>
                    <w:t>mi</w:t>
                  </w:r>
                  <w:r w:rsidRPr="00EC0E96">
                    <w:rPr>
                      <w:rFonts w:ascii="Calibri" w:hAnsi="Calibri"/>
                      <w:i/>
                      <w:iCs/>
                      <w:color w:val="1F497D"/>
                      <w:sz w:val="22"/>
                      <w:szCs w:val="28"/>
                    </w:rPr>
                    <w:t xml:space="preserve"> solny</w:t>
                  </w:r>
                  <w:r>
                    <w:rPr>
                      <w:rFonts w:ascii="Calibri" w:hAnsi="Calibri"/>
                      <w:i/>
                      <w:iCs/>
                      <w:color w:val="1F497D"/>
                      <w:sz w:val="22"/>
                      <w:szCs w:val="28"/>
                    </w:rPr>
                    <w:t>mi</w:t>
                  </w:r>
                  <w:r w:rsidRPr="00EC0E96">
                    <w:rPr>
                      <w:rFonts w:ascii="Calibri" w:hAnsi="Calibri"/>
                      <w:i/>
                      <w:iCs/>
                      <w:color w:val="1F497D"/>
                      <w:sz w:val="22"/>
                      <w:szCs w:val="28"/>
                    </w:rPr>
                    <w:t>.</w:t>
                  </w:r>
                  <w:r>
                    <w:rPr>
                      <w:rFonts w:ascii="Calibri" w:hAnsi="Calibri"/>
                      <w:i/>
                      <w:iCs/>
                      <w:color w:val="1F497D"/>
                      <w:sz w:val="22"/>
                      <w:szCs w:val="28"/>
                    </w:rPr>
                    <w:t xml:space="preserve"> Na charakter zabudowy i przestrzeni miejskich duży wpływ miały warzelnie soli oraz port rzeczny. Część wartościowych zabytków jest zdewastowana i popada w ruinę.</w:t>
                  </w:r>
                </w:p>
              </w:txbxContent>
            </v:textbox>
            <w10:wrap type="none" anchorx="margin" anchory="page"/>
            <w10:anchorlock/>
          </v:rect>
        </w:pict>
      </w:r>
    </w:p>
    <w:p w:rsidR="00A5153A" w:rsidRPr="00662F03" w:rsidRDefault="00A5153A" w:rsidP="004E5A9A">
      <w:pPr>
        <w:rPr>
          <w:rFonts w:ascii="Calibri" w:hAnsi="Calibri"/>
          <w:sz w:val="20"/>
          <w:szCs w:val="22"/>
        </w:rPr>
      </w:pPr>
    </w:p>
    <w:p w:rsidR="003451FE" w:rsidRPr="00662F03" w:rsidRDefault="002934ED" w:rsidP="007F5FC1">
      <w:pPr>
        <w:pStyle w:val="Nagwek2"/>
        <w:numPr>
          <w:ilvl w:val="1"/>
          <w:numId w:val="1"/>
        </w:numPr>
        <w:spacing w:line="240" w:lineRule="auto"/>
        <w:rPr>
          <w:rFonts w:ascii="Calibri" w:hAnsi="Calibri"/>
          <w:color w:val="17365D"/>
          <w:sz w:val="22"/>
          <w:szCs w:val="22"/>
        </w:rPr>
      </w:pPr>
      <w:bookmarkStart w:id="74" w:name="_Toc316395264"/>
      <w:r w:rsidRPr="00662F03">
        <w:rPr>
          <w:rFonts w:ascii="Calibri" w:hAnsi="Calibri"/>
          <w:color w:val="17365D"/>
          <w:sz w:val="22"/>
          <w:szCs w:val="22"/>
        </w:rPr>
        <w:t>T</w:t>
      </w:r>
      <w:r w:rsidR="003451FE" w:rsidRPr="00662F03">
        <w:rPr>
          <w:rFonts w:ascii="Calibri" w:hAnsi="Calibri"/>
          <w:color w:val="17365D"/>
          <w:sz w:val="22"/>
          <w:szCs w:val="22"/>
        </w:rPr>
        <w:t>urysty</w:t>
      </w:r>
      <w:r w:rsidRPr="00662F03">
        <w:rPr>
          <w:rFonts w:ascii="Calibri" w:hAnsi="Calibri"/>
          <w:color w:val="17365D"/>
          <w:sz w:val="22"/>
          <w:szCs w:val="22"/>
        </w:rPr>
        <w:t>ka</w:t>
      </w:r>
      <w:r w:rsidR="003451FE" w:rsidRPr="00662F03">
        <w:rPr>
          <w:rFonts w:ascii="Calibri" w:hAnsi="Calibri"/>
          <w:color w:val="17365D"/>
          <w:sz w:val="22"/>
          <w:szCs w:val="22"/>
        </w:rPr>
        <w:t>, sport i rekreac</w:t>
      </w:r>
      <w:r w:rsidRPr="00662F03">
        <w:rPr>
          <w:rFonts w:ascii="Calibri" w:hAnsi="Calibri"/>
          <w:color w:val="17365D"/>
          <w:sz w:val="22"/>
          <w:szCs w:val="22"/>
        </w:rPr>
        <w:t>ja</w:t>
      </w:r>
      <w:bookmarkEnd w:id="74"/>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Nowosolska baza sportowo-rekreacyjna obejmuje kilkanaście obiektów, wśród których znajduje się stadion sportowy (z dwoma trawiastymi pełnowymiarowymi płytami do piłki nożnej, boiskiem ze sztuczną nawierzchnią 50x70m, zapleczem sanitarnym, kompleksem 4 boisk do siatkówki plażowej), hala widowiskowo-sportowa (z pełnowymiarową halą sportową</w:t>
      </w:r>
      <w:r w:rsidR="00A34DD1" w:rsidRPr="00662F03">
        <w:rPr>
          <w:rFonts w:ascii="Calibri" w:hAnsi="Calibri" w:cs="Tahoma"/>
          <w:sz w:val="22"/>
          <w:szCs w:val="22"/>
        </w:rPr>
        <w:t xml:space="preserve"> </w:t>
      </w:r>
      <w:r w:rsidRPr="00662F03">
        <w:rPr>
          <w:rFonts w:ascii="Calibri" w:hAnsi="Calibri" w:cs="Tahoma"/>
          <w:sz w:val="22"/>
          <w:szCs w:val="22"/>
        </w:rPr>
        <w:t xml:space="preserve">z zapleczem socjalnym, kortem </w:t>
      </w:r>
      <w:r w:rsidR="00CF2DAA" w:rsidRPr="00662F03">
        <w:rPr>
          <w:rFonts w:ascii="Calibri" w:hAnsi="Calibri" w:cs="Tahoma"/>
          <w:sz w:val="22"/>
          <w:szCs w:val="22"/>
        </w:rPr>
        <w:t>ze sztuczną nawierzchnią</w:t>
      </w:r>
      <w:r w:rsidR="00A34DD1" w:rsidRPr="00662F03">
        <w:rPr>
          <w:rFonts w:ascii="Calibri" w:hAnsi="Calibri" w:cs="Tahoma"/>
          <w:sz w:val="22"/>
          <w:szCs w:val="22"/>
        </w:rPr>
        <w:t>)</w:t>
      </w:r>
      <w:r w:rsidRPr="00662F03">
        <w:rPr>
          <w:rFonts w:ascii="Calibri" w:hAnsi="Calibri" w:cs="Tahoma"/>
          <w:sz w:val="22"/>
          <w:szCs w:val="22"/>
        </w:rPr>
        <w:t>, hala sportowa (z boiskiem do gier małych, siłownią, bo</w:t>
      </w:r>
      <w:r w:rsidR="00A34DD1" w:rsidRPr="00662F03">
        <w:rPr>
          <w:rFonts w:ascii="Calibri" w:hAnsi="Calibri" w:cs="Tahoma"/>
          <w:sz w:val="22"/>
          <w:szCs w:val="22"/>
        </w:rPr>
        <w:t>iskiem asfaltowym, a zimą lodowiskiem</w:t>
      </w:r>
      <w:r w:rsidRPr="00662F03">
        <w:rPr>
          <w:rFonts w:ascii="Calibri" w:hAnsi="Calibri" w:cs="Tahoma"/>
          <w:sz w:val="22"/>
          <w:szCs w:val="22"/>
        </w:rPr>
        <w:t>, salką konferencyjną</w:t>
      </w:r>
      <w:r w:rsidR="00A34DD1" w:rsidRPr="00662F03">
        <w:rPr>
          <w:rFonts w:ascii="Calibri" w:hAnsi="Calibri" w:cs="Tahoma"/>
          <w:sz w:val="22"/>
          <w:szCs w:val="22"/>
        </w:rPr>
        <w:t>)</w:t>
      </w:r>
      <w:r w:rsidRPr="00662F03">
        <w:rPr>
          <w:rFonts w:ascii="Calibri" w:hAnsi="Calibri" w:cs="Tahoma"/>
          <w:sz w:val="22"/>
          <w:szCs w:val="22"/>
        </w:rPr>
        <w:t xml:space="preserve">, przystań kajakowa (z 14 miejscami noclegowymi kategorii turystycznej, salą na bankiety - do 30 osób), </w:t>
      </w:r>
      <w:r w:rsidR="007D6524" w:rsidRPr="00662F03">
        <w:rPr>
          <w:rFonts w:ascii="Calibri" w:hAnsi="Calibri" w:cs="Tahoma"/>
          <w:sz w:val="22"/>
          <w:szCs w:val="22"/>
        </w:rPr>
        <w:t>p</w:t>
      </w:r>
      <w:r w:rsidRPr="00662F03">
        <w:rPr>
          <w:rFonts w:ascii="Calibri" w:hAnsi="Calibri" w:cs="Tahoma"/>
          <w:sz w:val="22"/>
          <w:szCs w:val="22"/>
        </w:rPr>
        <w:t>r</w:t>
      </w:r>
      <w:r w:rsidR="00CF2DAA" w:rsidRPr="00662F03">
        <w:rPr>
          <w:rFonts w:ascii="Calibri" w:hAnsi="Calibri" w:cs="Tahoma"/>
          <w:sz w:val="22"/>
          <w:szCs w:val="22"/>
        </w:rPr>
        <w:t xml:space="preserve">zystań pasażerska Marina, Orlik </w:t>
      </w:r>
      <w:r w:rsidR="00A34DD1" w:rsidRPr="00662F03">
        <w:rPr>
          <w:rFonts w:ascii="Calibri" w:hAnsi="Calibri" w:cs="Tahoma"/>
          <w:sz w:val="22"/>
          <w:szCs w:val="22"/>
        </w:rPr>
        <w:t>„</w:t>
      </w:r>
      <w:r w:rsidRPr="00662F03">
        <w:rPr>
          <w:rFonts w:ascii="Calibri" w:hAnsi="Calibri" w:cs="Tahoma"/>
          <w:sz w:val="22"/>
          <w:szCs w:val="22"/>
        </w:rPr>
        <w:t>Kacza Górka”, park Kacza Górka, Park Krasnala. Wszystkie wyżej wymienione obiekty są w dyspozycji Miejskiego Ośrodka Sportu i Rekreacji w Nowej Soli.</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niedalekim sąsiedztwie Nowej Soli, na terenie wsi Drzonków znajduje się Wojewódzki Ośrodek Sportu i Rekreacji. Obiekt znany i ceniony wśród profesjonalnych polskich i zagranicznych sportowców, w szczególności pięcioboistów nowoczesnych. Do Wojewódzkiego Ośrodka Sportu i Rekreacji należy basen olimpijski oraz basen kryty, wykorzystywany do nauki pływania przez cały rok.</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Uzupełniającą ofertą </w:t>
      </w:r>
      <w:r w:rsidR="00104B85" w:rsidRPr="00662F03">
        <w:rPr>
          <w:rFonts w:ascii="Calibri" w:hAnsi="Calibri" w:cs="Tahoma"/>
          <w:sz w:val="22"/>
          <w:szCs w:val="22"/>
        </w:rPr>
        <w:t>obiektów</w:t>
      </w:r>
      <w:r w:rsidRPr="00662F03">
        <w:rPr>
          <w:rFonts w:ascii="Calibri" w:hAnsi="Calibri" w:cs="Tahoma"/>
          <w:sz w:val="22"/>
          <w:szCs w:val="22"/>
        </w:rPr>
        <w:t xml:space="preserve"> rekreacyjno-sportowych dysponuje również pobliska Zielona Góra, której baza sportowo-rekreacyjna obejmuje kilkadziesiąt obiektów, m.in. 3 stadiony, w tym żużlowy, nowoczesne centrum rekreacyjno-sportowe z basenem krytym z atrakcjami i najdłuższą w Polsce zjeżdżalnią oddane w 2010 roku, kąpielisko Ochla z boiskami do piłki siatkowej, kręgielnie, kluby snookerowe, skateparki, sale do squash, korty tenisowe, lodowisko, stok narciarski z torem saneczkowym, aeroklub z możliwością uprawiania skoków spadochronowych, quadowisko, tor do crossu.</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 informacji dostępnych na stronach internetowych miejskiego serwisu internetowego Nowej Soli wynika, że w mieście działa kilkanaście klubów sportowych, w tym m.in. 5 Uczniowskich Klubów Spor</w:t>
      </w:r>
      <w:r w:rsidR="00104B85" w:rsidRPr="00662F03">
        <w:rPr>
          <w:rFonts w:ascii="Calibri" w:hAnsi="Calibri" w:cs="Tahoma"/>
          <w:sz w:val="22"/>
          <w:szCs w:val="22"/>
        </w:rPr>
        <w:t>towych, Miejski Klub Piłkarski „Arka”</w:t>
      </w:r>
      <w:r w:rsidRPr="00662F03">
        <w:rPr>
          <w:rFonts w:ascii="Calibri" w:hAnsi="Calibri" w:cs="Tahoma"/>
          <w:sz w:val="22"/>
          <w:szCs w:val="22"/>
        </w:rPr>
        <w:t>, Kajakowy Klub Sportowy, Nowosolski Klub Karate Kyokushin, Stowarzyszenie Piłki Ręc</w:t>
      </w:r>
      <w:r w:rsidR="00104B85" w:rsidRPr="00662F03">
        <w:rPr>
          <w:rFonts w:ascii="Calibri" w:hAnsi="Calibri" w:cs="Tahoma"/>
          <w:sz w:val="22"/>
          <w:szCs w:val="22"/>
        </w:rPr>
        <w:t>znej Nowa Sól</w:t>
      </w:r>
      <w:r w:rsidRPr="00662F03">
        <w:rPr>
          <w:rFonts w:ascii="Calibri" w:hAnsi="Calibri" w:cs="Tahoma"/>
          <w:sz w:val="22"/>
          <w:szCs w:val="22"/>
        </w:rPr>
        <w:t>, Międzyszkolny Klub Sportowo-Turystyczny „Astra”, Zapaśniczy Klub Sportowy „HEGEMON max 24”.</w:t>
      </w:r>
    </w:p>
    <w:p w:rsidR="00BB154C" w:rsidRDefault="000B6C16" w:rsidP="004E5A9A">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Obecnie w Nowej Soli uprawianych jest wiele dyscyplin sportu, jednakże w żadnej z tych dyscyplin w ostatnich latach nie są odnoszone większe sukcesy. Nowa Sól ma tradycje siatkarskie, gry w piłkę ręczną oraz sporty walki. Młodzież zainteresowana grą na boiskach otwartych może korzystać z infrastruktury szkolnej.</w:t>
      </w:r>
    </w:p>
    <w:p w:rsidR="000B6C16" w:rsidRPr="00662F03" w:rsidRDefault="00BB154C" w:rsidP="004E5A9A">
      <w:pPr>
        <w:shd w:val="clear" w:color="auto" w:fill="FFFFFF"/>
        <w:spacing w:before="150" w:after="75"/>
        <w:jc w:val="both"/>
        <w:outlineLvl w:val="3"/>
        <w:rPr>
          <w:rFonts w:ascii="Calibri" w:hAnsi="Calibri" w:cs="Tahoma"/>
          <w:bCs/>
          <w:sz w:val="22"/>
          <w:szCs w:val="22"/>
        </w:rPr>
      </w:pPr>
      <w:r>
        <w:rPr>
          <w:rFonts w:ascii="Calibri" w:hAnsi="Calibri" w:cs="Tahoma"/>
          <w:bCs/>
          <w:sz w:val="22"/>
          <w:szCs w:val="22"/>
        </w:rPr>
        <w:lastRenderedPageBreak/>
        <w:t xml:space="preserve">Coraz większym zainteresowaniem cieszy się Półmaraton Solan. </w:t>
      </w:r>
      <w:r w:rsidRPr="00BB154C">
        <w:rPr>
          <w:rFonts w:ascii="Calibri" w:hAnsi="Calibri" w:cs="Tahoma"/>
          <w:bCs/>
          <w:sz w:val="22"/>
          <w:szCs w:val="22"/>
        </w:rPr>
        <w:t>Początki "Biegu Solan" (pierwotna nazwa dzisiejszego Półmaratonu) organizowanego przez Miejski Ośrodek Sportu i Rekreacji i Urząd Miejski w Nowej Soli sięgają 1984 roku, impreza z roku na rok nabierała znaczenia jak i przyciągała coraz znamienitszych zawodników zarówno z kraju jak i zagranicy</w:t>
      </w:r>
      <w:r>
        <w:rPr>
          <w:rFonts w:ascii="Calibri" w:hAnsi="Calibri" w:cs="Tahoma"/>
          <w:bCs/>
          <w:sz w:val="22"/>
          <w:szCs w:val="22"/>
        </w:rPr>
        <w:t>.</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Liczne działania ukierunkowane są na rozwój i poprawę bazy sportowej, pomaga w tym m.in. ministerialny Program Rozwoju Bazy Sportowej Województwa Lubuskiego, Program Moje Boisko - Orlik 2012. Pozwoli to na zwiększenie liczby boisk i umożliwienie dzieciom i młodzieży dostępu do nowoczesnej infrastruktury sportowej w celu aktywnego uprawiania sportu i rozwoju fizycznego (na terenie miasta powstało 1 boisko „Orlik”).</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Organizowane w mieści</w:t>
      </w:r>
      <w:r w:rsidR="00104B85" w:rsidRPr="00662F03">
        <w:rPr>
          <w:rFonts w:ascii="Calibri" w:hAnsi="Calibri" w:cs="Tahoma"/>
          <w:sz w:val="22"/>
          <w:szCs w:val="22"/>
        </w:rPr>
        <w:t>e</w:t>
      </w:r>
      <w:r w:rsidR="000B6C16" w:rsidRPr="00662F03">
        <w:rPr>
          <w:rFonts w:ascii="Calibri" w:hAnsi="Calibri" w:cs="Tahoma"/>
          <w:sz w:val="22"/>
          <w:szCs w:val="22"/>
        </w:rPr>
        <w:t xml:space="preserve"> imprezy sportowo-</w:t>
      </w:r>
      <w:r w:rsidRPr="00662F03">
        <w:rPr>
          <w:rFonts w:ascii="Calibri" w:hAnsi="Calibri" w:cs="Tahoma"/>
          <w:sz w:val="22"/>
          <w:szCs w:val="22"/>
        </w:rPr>
        <w:t xml:space="preserve">rekreacyjne nastawione są na propagowanie aktywnego wypoczynku, kultury fizycznej, rozumianej jako poprawa kondycji oraz wzmożenie aktywności fizycznej dzieci i młodzieży. Zbyt </w:t>
      </w:r>
      <w:r w:rsidR="00104B85" w:rsidRPr="00662F03">
        <w:rPr>
          <w:rFonts w:ascii="Calibri" w:hAnsi="Calibri" w:cs="Tahoma"/>
          <w:sz w:val="22"/>
          <w:szCs w:val="22"/>
        </w:rPr>
        <w:t>uboga</w:t>
      </w:r>
      <w:r w:rsidRPr="00662F03">
        <w:rPr>
          <w:rFonts w:ascii="Calibri" w:hAnsi="Calibri" w:cs="Tahoma"/>
          <w:sz w:val="22"/>
          <w:szCs w:val="22"/>
        </w:rPr>
        <w:t xml:space="preserve"> oferta, jak w większości miast polskich</w:t>
      </w:r>
      <w:r w:rsidR="00104B85" w:rsidRPr="00662F03">
        <w:rPr>
          <w:rFonts w:ascii="Calibri" w:hAnsi="Calibri" w:cs="Tahoma"/>
          <w:sz w:val="22"/>
          <w:szCs w:val="22"/>
        </w:rPr>
        <w:t>,</w:t>
      </w:r>
      <w:r w:rsidRPr="00662F03">
        <w:rPr>
          <w:rFonts w:ascii="Calibri" w:hAnsi="Calibri" w:cs="Tahoma"/>
          <w:sz w:val="22"/>
          <w:szCs w:val="22"/>
        </w:rPr>
        <w:t xml:space="preserve"> skierowana jest do osób dorosłych, także starszych.</w:t>
      </w:r>
    </w:p>
    <w:p w:rsidR="000A1556" w:rsidRPr="00662F03" w:rsidRDefault="000A1556" w:rsidP="004E5A9A">
      <w:pPr>
        <w:shd w:val="clear" w:color="auto" w:fill="FFFFFF"/>
        <w:spacing w:before="150" w:after="75"/>
        <w:jc w:val="both"/>
        <w:outlineLvl w:val="3"/>
        <w:rPr>
          <w:rFonts w:ascii="Calibri" w:hAnsi="Calibri" w:cs="Tahoma"/>
          <w:bCs/>
          <w:sz w:val="22"/>
          <w:szCs w:val="22"/>
        </w:rPr>
      </w:pPr>
      <w:r w:rsidRPr="00662F03">
        <w:rPr>
          <w:rFonts w:ascii="Calibri" w:hAnsi="Calibri" w:cs="Tahoma"/>
          <w:sz w:val="22"/>
          <w:szCs w:val="22"/>
        </w:rPr>
        <w:t xml:space="preserve">Nowa Sól jest atrakcyjnie położona w dolinie Odry, przez miasto przepływa rzeka, która pozwala na uprawianie turystyki wodnej. </w:t>
      </w:r>
      <w:r w:rsidR="000B6C16" w:rsidRPr="00662F03">
        <w:rPr>
          <w:rFonts w:ascii="Calibri" w:hAnsi="Calibri" w:cs="Tahoma"/>
          <w:bCs/>
          <w:sz w:val="22"/>
          <w:szCs w:val="22"/>
        </w:rPr>
        <w:t xml:space="preserve">Funkcjonujące kąpielisko bywa zalewane. </w:t>
      </w:r>
      <w:r w:rsidRPr="00662F03">
        <w:rPr>
          <w:rFonts w:ascii="Calibri" w:hAnsi="Calibri" w:cs="Tahoma"/>
          <w:sz w:val="22"/>
          <w:szCs w:val="22"/>
        </w:rPr>
        <w:t xml:space="preserve">Nowa Sól posiada port rzeczny oraz przystań kajakową. </w:t>
      </w:r>
      <w:r w:rsidR="00104B85" w:rsidRPr="00662F03">
        <w:rPr>
          <w:rFonts w:ascii="Calibri" w:hAnsi="Calibri" w:cs="Tahoma"/>
          <w:sz w:val="22"/>
          <w:szCs w:val="22"/>
        </w:rPr>
        <w:t>R</w:t>
      </w:r>
      <w:r w:rsidRPr="00662F03">
        <w:rPr>
          <w:rFonts w:ascii="Calibri" w:hAnsi="Calibri" w:cs="Tahoma"/>
          <w:sz w:val="22"/>
          <w:szCs w:val="22"/>
        </w:rPr>
        <w:t xml:space="preserve">ozpoczynają się </w:t>
      </w:r>
      <w:r w:rsidR="00104B85" w:rsidRPr="00662F03">
        <w:rPr>
          <w:rFonts w:ascii="Calibri" w:hAnsi="Calibri" w:cs="Tahoma"/>
          <w:sz w:val="22"/>
          <w:szCs w:val="22"/>
        </w:rPr>
        <w:t xml:space="preserve">tu </w:t>
      </w:r>
      <w:r w:rsidRPr="00662F03">
        <w:rPr>
          <w:rFonts w:ascii="Calibri" w:hAnsi="Calibri" w:cs="Tahoma"/>
          <w:sz w:val="22"/>
          <w:szCs w:val="22"/>
        </w:rPr>
        <w:t xml:space="preserve">coroczne spływy tratw na trasie Nowa Sól </w:t>
      </w:r>
      <w:r w:rsidR="00104B85" w:rsidRPr="00662F03">
        <w:rPr>
          <w:rFonts w:ascii="Calibri" w:hAnsi="Calibri" w:cs="Tahoma"/>
          <w:sz w:val="22"/>
          <w:szCs w:val="22"/>
        </w:rPr>
        <w:t xml:space="preserve">– Szczecin („Odra Adventure”), </w:t>
      </w:r>
      <w:r w:rsidRPr="00662F03">
        <w:rPr>
          <w:rFonts w:ascii="Calibri" w:hAnsi="Calibri" w:cs="Tahoma"/>
          <w:sz w:val="22"/>
          <w:szCs w:val="22"/>
        </w:rPr>
        <w:t>zatrzymuje się „Flis Odrzański”.</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Region nowosolski charakteryzuje malownicze położenie wśród lasów, które stanowią ponad 40</w:t>
      </w:r>
      <w:r w:rsidR="00104B85" w:rsidRPr="00662F03">
        <w:rPr>
          <w:rFonts w:ascii="Calibri" w:hAnsi="Calibri" w:cs="Tahoma"/>
          <w:sz w:val="22"/>
          <w:szCs w:val="22"/>
        </w:rPr>
        <w:t>%</w:t>
      </w:r>
      <w:r w:rsidRPr="00662F03">
        <w:rPr>
          <w:rFonts w:ascii="Calibri" w:hAnsi="Calibri" w:cs="Tahoma"/>
          <w:sz w:val="22"/>
          <w:szCs w:val="22"/>
        </w:rPr>
        <w:t xml:space="preserve"> powierzchni terenu. Ośrodki wczasowe oraz kwatery prywatne położone nad Jeziorem Sławskim umożliwiają wypoczynek i rekreację - odpoczynek na plaży lub w leśnej ciszy. Pozwalają również na aktywny wypoczynek (kajakarstwo, rowery, żeglarstwo, wędkarstwo). Aktywny wypoczynek zapewniają także liczne trasy turystyczne. W okolicach Nowej Soli przebiega 8 tras turystycznych (m.in. Starorzecza Odry, Nowa Sól – rezerwat leśny „Bażantarnia”). Większość odcinków nadaje się do wędrówek pieszych jak i rowerowych.</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Ważnym punktem miasta jest port oraz przystań. Przyszły rozwój miasta powiązany jest z działaniami ukierunkowanymi na przywrócenie rzeki miastu. W osiągnięciu celu pomagają liczne programy pomocowe. W ramach Lubuskiego Regionalnego Programu Operacyjnego realizowany jest projekt pn. „Rewitalizacja dzielnicy portowej w zabyt</w:t>
      </w:r>
      <w:r w:rsidR="00104B85" w:rsidRPr="00662F03">
        <w:rPr>
          <w:rFonts w:ascii="Calibri" w:hAnsi="Calibri" w:cs="Tahoma"/>
          <w:sz w:val="22"/>
          <w:szCs w:val="22"/>
        </w:rPr>
        <w:t xml:space="preserve">kowej części miasta Nowa Sól”. </w:t>
      </w:r>
      <w:r w:rsidRPr="00662F03">
        <w:rPr>
          <w:rFonts w:ascii="Calibri" w:hAnsi="Calibri" w:cs="Tahoma"/>
          <w:sz w:val="22"/>
          <w:szCs w:val="22"/>
        </w:rPr>
        <w:t>W wyniku realizacji ww. projektu w 2007 roku po przebudowie otwarto oficjalnie port w Nowej Soli. Wybudowano przystań dla statków i ma</w:t>
      </w:r>
      <w:r w:rsidR="00104B85" w:rsidRPr="00662F03">
        <w:rPr>
          <w:rFonts w:ascii="Calibri" w:hAnsi="Calibri" w:cs="Tahoma"/>
          <w:sz w:val="22"/>
          <w:szCs w:val="22"/>
        </w:rPr>
        <w:t>łych jednostek pływających oraz</w:t>
      </w:r>
      <w:r w:rsidRPr="00662F03">
        <w:rPr>
          <w:rFonts w:ascii="Calibri" w:hAnsi="Calibri" w:cs="Tahoma"/>
          <w:sz w:val="22"/>
          <w:szCs w:val="22"/>
        </w:rPr>
        <w:t xml:space="preserve"> przebudowano „Harcerską Górkę”. W jej wnętrzu powstało pomieszczenie pod kawiarenkę, a na szczycie taras widokowy i amfiteatr. Zagospodarowano również okolice wzgórza. Wzdłuż kanału portowego wybudowa</w:t>
      </w:r>
      <w:r w:rsidR="00104B85" w:rsidRPr="00662F03">
        <w:rPr>
          <w:rFonts w:ascii="Calibri" w:hAnsi="Calibri" w:cs="Tahoma"/>
          <w:sz w:val="22"/>
          <w:szCs w:val="22"/>
        </w:rPr>
        <w:t>na została promenada spacerowa,</w:t>
      </w:r>
      <w:r w:rsidRPr="00662F03">
        <w:rPr>
          <w:rFonts w:ascii="Calibri" w:hAnsi="Calibri" w:cs="Tahoma"/>
          <w:sz w:val="22"/>
          <w:szCs w:val="22"/>
        </w:rPr>
        <w:t xml:space="preserve"> połączona kładką z przystanią kajakową. Teren wyposażono w małą architekturę, stylizowane lampy, kosze na śmieci i ławki.</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 kolei w ramach Programu Operacyjnego Współpracy Transgranicznej Polska (województwo l</w:t>
      </w:r>
      <w:r w:rsidR="00104B85" w:rsidRPr="00662F03">
        <w:rPr>
          <w:rFonts w:ascii="Calibri" w:hAnsi="Calibri" w:cs="Tahoma"/>
          <w:sz w:val="22"/>
          <w:szCs w:val="22"/>
        </w:rPr>
        <w:t>ubuskie) - Brandenburgia 2007-</w:t>
      </w:r>
      <w:r w:rsidRPr="00662F03">
        <w:rPr>
          <w:rFonts w:ascii="Calibri" w:hAnsi="Calibri" w:cs="Tahoma"/>
          <w:sz w:val="22"/>
          <w:szCs w:val="22"/>
        </w:rPr>
        <w:t>2013 projekt pn. „Odra dla turystów 2014” przewiduje się rozwój turystyki wodnej na transgranicznym obszarze Doliny Środkowej Odry. Projekt zakłada II etap budowy portów w trzech gminach (Nowa Sól,</w:t>
      </w:r>
      <w:r w:rsidR="00104B85" w:rsidRPr="00662F03">
        <w:rPr>
          <w:rFonts w:ascii="Calibri" w:hAnsi="Calibri" w:cs="Tahoma"/>
          <w:sz w:val="22"/>
          <w:szCs w:val="22"/>
        </w:rPr>
        <w:t xml:space="preserve"> Bytom Odrzański oraz Sulechów - Cigacice). Drugą jego częścią</w:t>
      </w:r>
      <w:r w:rsidRPr="00662F03">
        <w:rPr>
          <w:rFonts w:ascii="Calibri" w:hAnsi="Calibri" w:cs="Tahoma"/>
          <w:sz w:val="22"/>
          <w:szCs w:val="22"/>
        </w:rPr>
        <w:t xml:space="preserve"> jest budowa dwóch statków, które będą kursowały na odcinku p</w:t>
      </w:r>
      <w:r w:rsidR="00104B85" w:rsidRPr="00662F03">
        <w:rPr>
          <w:rFonts w:ascii="Calibri" w:hAnsi="Calibri" w:cs="Tahoma"/>
          <w:sz w:val="22"/>
          <w:szCs w:val="22"/>
        </w:rPr>
        <w:t>onad</w:t>
      </w:r>
      <w:r w:rsidRPr="00662F03">
        <w:rPr>
          <w:rFonts w:ascii="Calibri" w:hAnsi="Calibri" w:cs="Tahoma"/>
          <w:sz w:val="22"/>
          <w:szCs w:val="22"/>
        </w:rPr>
        <w:t xml:space="preserve"> 200 km od Głogowa do Kostrzyna. Projekt realizowany jest przez Gminę Nowa Sól - Miasto jako Beneficjenta Wiodącego w partnerstwie z gminami: Bytom Odrzański, Sulechów, Krosno Odrzańskie, Słubice, Górzyca, Kostrzyn nad Odrą, Eisenhüttenstadt, Frankfurt nad Odrą, Stowarzyszenie Marina Winterhafen Sporboot Frankfurt (Oder).</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Baza noclegowa Nowej Soli obejmuje 4 obiekty zbiorowego zakwaterowania dysponujące 381 miejscami, z tego 113 całorocznych, które w części (ponad 20%) znajdują się w 2 hotelach, poza tym w 1 innym obiekcie hotelowym (32 miejsca) oraz w 1 ośrodku wczasowo-wypoczynkowym (268 miejsc). Na terenie miasta znajduje się także ośrodek szkoleniowo-wypoczynkowy na 100 miejsc oraz </w:t>
      </w:r>
      <w:r w:rsidRPr="00662F03">
        <w:rPr>
          <w:rFonts w:ascii="Calibri" w:hAnsi="Calibri" w:cs="Tahoma"/>
          <w:sz w:val="22"/>
          <w:szCs w:val="22"/>
        </w:rPr>
        <w:lastRenderedPageBreak/>
        <w:t>pole biwakowe na 140 miejsc, a w oddalonym zaledwie o kilka kilometrów Otyniu mieści się motel na 26 miejsc</w:t>
      </w:r>
      <w:r w:rsidRPr="00662F03">
        <w:rPr>
          <w:rFonts w:ascii="Calibri" w:hAnsi="Calibri" w:cs="Tahoma"/>
          <w:sz w:val="20"/>
          <w:vertAlign w:val="superscript"/>
        </w:rPr>
        <w:footnoteReference w:id="21"/>
      </w:r>
      <w:r w:rsidRPr="00662F03">
        <w:rPr>
          <w:rFonts w:ascii="Calibri" w:hAnsi="Calibri" w:cs="Tahoma"/>
          <w:sz w:val="22"/>
          <w:szCs w:val="22"/>
        </w:rPr>
        <w:t>.</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Baza noclegowa Nowej Soli stanowi </w:t>
      </w:r>
      <w:r w:rsidR="00104B85" w:rsidRPr="00662F03">
        <w:rPr>
          <w:rFonts w:ascii="Calibri" w:hAnsi="Calibri" w:cs="Tahoma"/>
          <w:sz w:val="22"/>
          <w:szCs w:val="22"/>
        </w:rPr>
        <w:t xml:space="preserve">⅓ </w:t>
      </w:r>
      <w:r w:rsidRPr="00662F03">
        <w:rPr>
          <w:rFonts w:ascii="Calibri" w:hAnsi="Calibri" w:cs="Tahoma"/>
          <w:sz w:val="22"/>
          <w:szCs w:val="22"/>
        </w:rPr>
        <w:t>wszystkich obiektów w powiecie. Charakteryzuje się stosunkowo dużą gęstością miejsc noclegowych - na 1 km</w:t>
      </w:r>
      <w:r w:rsidRPr="00662F03">
        <w:rPr>
          <w:rFonts w:ascii="Calibri" w:hAnsi="Calibri" w:cs="Tahoma"/>
          <w:sz w:val="22"/>
          <w:szCs w:val="22"/>
          <w:vertAlign w:val="superscript"/>
        </w:rPr>
        <w:t>2</w:t>
      </w:r>
      <w:r w:rsidRPr="00662F03">
        <w:rPr>
          <w:rFonts w:ascii="Calibri" w:hAnsi="Calibri" w:cs="Tahoma"/>
          <w:sz w:val="22"/>
          <w:szCs w:val="22"/>
        </w:rPr>
        <w:t xml:space="preserve"> przypadało nieco ponad 17 miejsc, porównywalnie w Bytomiu Odrzańskim 44,5 miejsc, a w powiecie nieco ponad 1.</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Nowosolskie obiekty zbiorowego zakwaterowania przyjęły 4 044 osoby korzystające z noclegu, w tym 10% stanowili turyści zagraniczni (425 osób). W odniesieniu do 2005 r. w Nowej Soli odnotowano spadek liczby osób korzystających z noclegu o ponad 25%, w tym o ponad 54% turystów zagranicznych. Stopień wykorzystania miejsc noclegowych w Nowej Soli w 2009 r. kształtował się na poziomie 23% i zmniejszył się znacznie – o ponad 42 pkt. proc. w porównaniu z 2005 r.</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Istniejąca baza noclegowa w Nowej Soli oferuje miejsca w hotelach niższej kategorii, dwu czy jednogwiazdkowych (Złoty Łan, Hotel Odra). Ofertę uzupełniającą wyższej kategorii znaleźć można w pobliskiej Zielonej Górze czy ośrodku w Drzonkowie. W Zielonej Górze w ostatnich latach zmodernizowano bądź oddano do użytku nowe luksusowe obiekty, jak hotel czterogwiazdkowy Ruben, DANA Hotel &amp; SPA, wyso</w:t>
      </w:r>
      <w:r w:rsidR="00807205" w:rsidRPr="00662F03">
        <w:rPr>
          <w:rFonts w:ascii="Calibri" w:hAnsi="Calibri" w:cs="Tahoma"/>
          <w:sz w:val="22"/>
          <w:szCs w:val="22"/>
        </w:rPr>
        <w:t xml:space="preserve">kiej klasy trzygwiazdkowe, jak </w:t>
      </w:r>
      <w:r w:rsidRPr="00662F03">
        <w:rPr>
          <w:rFonts w:ascii="Calibri" w:hAnsi="Calibri" w:cs="Tahoma"/>
          <w:sz w:val="22"/>
          <w:szCs w:val="22"/>
        </w:rPr>
        <w:t>Hotel Qubus, Pensjonat Fi</w:t>
      </w:r>
      <w:r w:rsidR="005A76CB" w:rsidRPr="00662F03">
        <w:rPr>
          <w:rFonts w:ascii="Calibri" w:hAnsi="Calibri" w:cs="Tahoma"/>
          <w:sz w:val="22"/>
          <w:szCs w:val="22"/>
        </w:rPr>
        <w:t>tness &amp; SPA GREGOR, hotel Aura</w:t>
      </w:r>
      <w:r w:rsidRPr="00662F03">
        <w:rPr>
          <w:rFonts w:ascii="Calibri" w:hAnsi="Calibri" w:cs="Tahoma"/>
          <w:sz w:val="22"/>
          <w:szCs w:val="22"/>
        </w:rPr>
        <w:t xml:space="preserve">, hotel Zajazd Pocztowy, Amadeus. Hotele oferują wysoki standard, często posiadają sale konferencyjne, baseny, </w:t>
      </w:r>
      <w:r w:rsidR="00807205" w:rsidRPr="00662F03">
        <w:rPr>
          <w:rFonts w:ascii="Calibri" w:hAnsi="Calibri" w:cs="Tahoma"/>
          <w:sz w:val="22"/>
          <w:szCs w:val="22"/>
        </w:rPr>
        <w:t>Spa</w:t>
      </w:r>
      <w:r w:rsidRPr="00662F03">
        <w:rPr>
          <w:rFonts w:ascii="Calibri" w:hAnsi="Calibri" w:cs="Tahoma"/>
          <w:sz w:val="22"/>
          <w:szCs w:val="22"/>
        </w:rPr>
        <w:t xml:space="preserve"> czy inne atrakcje.</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Nowa Sól jest miejscem organizacji imprez o charakterze lokalnym, skupionych wokół tradycji solnych miasta, tj. Święta Solan (gromadzi ponad 15 tysięcy mieszkańców regionu), święta bluesa pn. „Solówka”, imprez sportowo-wodnych - Regaty Smoczych Łodzi, imprezy sportowej - Półmaraton Solan oraz imprez o charakterze ogólnokrajowym - Solanin-Film Festiwal oraz „Spring Rock Festival”</w:t>
      </w:r>
      <w:r w:rsidR="00807205" w:rsidRPr="00662F03">
        <w:rPr>
          <w:rFonts w:ascii="Calibri" w:hAnsi="Calibri" w:cs="Tahoma"/>
          <w:sz w:val="22"/>
          <w:szCs w:val="22"/>
        </w:rPr>
        <w:t xml:space="preserve"> </w:t>
      </w:r>
      <w:r w:rsidRPr="00662F03">
        <w:rPr>
          <w:rFonts w:ascii="Calibri" w:hAnsi="Calibri" w:cs="Tahoma"/>
          <w:sz w:val="22"/>
          <w:szCs w:val="22"/>
        </w:rPr>
        <w:t>o większym potencjale przyciągnięcia do miasta turystów.</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Komplementarne imprezy oferują pozostałe miasta Trójmiasta Lubuskiego - Zielona Góra i Sulechów.</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Atrakcyjne tereny nowosolskie mają duży potencjał przyciągania wielbicieli sportów wodnych i turystyki wodnej, zwłaszcza dzięki realizacji wspomnianego wcześniej projektu „Odra dla turystów 2014”. Ożywienie żeglugi na Odrze wpłynie na zwiększenie zainteresowania rejonem turystów.</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Bliska okolica dostarcza innych atrakcji sportowych: na amatorów jazdy konnej czeka kilka ośrodków jazdy konnej (w Drzonkowie, Raculi, Przylepie, Ochli), na amatorów turystyki lotniczej - Przylep stolica sportów lotniczych w lubuskim, z prężnie działającymi sekcjami: samolotową, spadochronową, szybowcową, modelarską, motolotniową, balonową i paralotniową.</w:t>
      </w:r>
    </w:p>
    <w:p w:rsidR="000A1556" w:rsidRPr="00662F03"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Ze względu na położenie niedaleko granicy niemieckiej, pobytem w regionie zainteresowani są Niemcy przyjeżdżający tu chętnie na weekendy, korzystający z agroturystyki, ale też odwiedzający miasta.</w:t>
      </w:r>
    </w:p>
    <w:p w:rsidR="000A1556" w:rsidRDefault="000A155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mieście zdecydowanie nie dominuje funkcja turystyczna. Na tle miast o porównywalnej liczbie mieszkańców Nowa Sól pod względem liczby korzystających z noclegów sytuuje się prawie na końcu listy (miejsce 49 na 56), ze słabym rezultatem – 101 korzystających na 1000 mieszkańców na średnią liczbę we wspomnianych miastach 595. Podobnie niekorzystnie wypada porównanie do wyników województwa - 605 i kraju – 507 na 1000 mieszkańców.</w:t>
      </w:r>
    </w:p>
    <w:p w:rsidR="000510C7" w:rsidRDefault="000510C7">
      <w:pPr>
        <w:rPr>
          <w:rFonts w:ascii="Calibri" w:hAnsi="Calibri" w:cs="Tahoma"/>
          <w:sz w:val="22"/>
          <w:szCs w:val="22"/>
        </w:rPr>
      </w:pPr>
      <w:bookmarkStart w:id="75" w:name="_Toc315790521"/>
      <w:r>
        <w:rPr>
          <w:rFonts w:ascii="Calibri" w:hAnsi="Calibri" w:cs="Tahoma"/>
          <w:sz w:val="22"/>
          <w:szCs w:val="22"/>
        </w:rPr>
        <w:br w:type="page"/>
      </w:r>
    </w:p>
    <w:p w:rsidR="000A1556" w:rsidRPr="006A1A22" w:rsidRDefault="000A1556" w:rsidP="0072145F">
      <w:pPr>
        <w:shd w:val="clear" w:color="auto" w:fill="FFFFFF"/>
        <w:jc w:val="both"/>
        <w:outlineLvl w:val="3"/>
        <w:rPr>
          <w:rFonts w:ascii="Calibri" w:hAnsi="Calibri" w:cs="Tahoma"/>
          <w:szCs w:val="22"/>
        </w:rPr>
      </w:pPr>
      <w:r w:rsidRPr="00662F03">
        <w:rPr>
          <w:rFonts w:ascii="Calibri" w:hAnsi="Calibri" w:cs="Tahoma"/>
          <w:sz w:val="20"/>
          <w:szCs w:val="22"/>
        </w:rPr>
        <w:lastRenderedPageBreak/>
        <w:t xml:space="preserve">Wykres </w:t>
      </w:r>
      <w:r w:rsidR="005433B6" w:rsidRPr="00662F03">
        <w:rPr>
          <w:rFonts w:ascii="Calibri" w:hAnsi="Calibri" w:cs="Tahoma"/>
          <w:sz w:val="20"/>
          <w:szCs w:val="22"/>
        </w:rPr>
        <w:fldChar w:fldCharType="begin"/>
      </w:r>
      <w:r w:rsidRPr="00662F03">
        <w:rPr>
          <w:rFonts w:ascii="Calibri" w:hAnsi="Calibri" w:cs="Tahoma"/>
          <w:sz w:val="20"/>
          <w:szCs w:val="22"/>
        </w:rPr>
        <w:instrText xml:space="preserve"> SEQ Wykres \* ARABIC </w:instrText>
      </w:r>
      <w:r w:rsidR="005433B6" w:rsidRPr="00662F03">
        <w:rPr>
          <w:rFonts w:ascii="Calibri" w:hAnsi="Calibri" w:cs="Tahoma"/>
          <w:sz w:val="20"/>
          <w:szCs w:val="22"/>
        </w:rPr>
        <w:fldChar w:fldCharType="separate"/>
      </w:r>
      <w:r w:rsidR="00D377D1">
        <w:rPr>
          <w:rFonts w:ascii="Calibri" w:hAnsi="Calibri" w:cs="Tahoma"/>
          <w:noProof/>
          <w:sz w:val="20"/>
          <w:szCs w:val="22"/>
        </w:rPr>
        <w:t>52</w:t>
      </w:r>
      <w:r w:rsidR="005433B6" w:rsidRPr="00662F03">
        <w:rPr>
          <w:rFonts w:ascii="Calibri" w:hAnsi="Calibri" w:cs="Tahoma"/>
          <w:sz w:val="20"/>
          <w:szCs w:val="22"/>
        </w:rPr>
        <w:fldChar w:fldCharType="end"/>
      </w:r>
      <w:r w:rsidRPr="00662F03">
        <w:rPr>
          <w:rFonts w:ascii="Calibri" w:hAnsi="Calibri" w:cs="Tahoma"/>
          <w:sz w:val="20"/>
          <w:szCs w:val="22"/>
        </w:rPr>
        <w:t>.</w:t>
      </w:r>
      <w:r w:rsidR="006A1A22" w:rsidRPr="006A1A22">
        <w:rPr>
          <w:b/>
          <w:bCs/>
          <w:color w:val="000000"/>
          <w:kern w:val="24"/>
          <w:sz w:val="18"/>
          <w:szCs w:val="18"/>
        </w:rPr>
        <w:t xml:space="preserve"> </w:t>
      </w:r>
      <w:r w:rsidR="006A1A22">
        <w:rPr>
          <w:rFonts w:ascii="Calibri" w:hAnsi="Calibri" w:cs="Tahoma"/>
          <w:bCs/>
          <w:sz w:val="20"/>
          <w:szCs w:val="22"/>
        </w:rPr>
        <w:t>Korzystający z noclegów w Nowej</w:t>
      </w:r>
      <w:r w:rsidR="006A1A22" w:rsidRPr="006A1A22">
        <w:rPr>
          <w:rFonts w:ascii="Calibri" w:hAnsi="Calibri" w:cs="Tahoma"/>
          <w:bCs/>
          <w:sz w:val="20"/>
          <w:szCs w:val="22"/>
        </w:rPr>
        <w:t xml:space="preserve"> Soli w 2009 roku w przeliczeniu na 1 000 mieszkańców na tle miast o porównywalnej liczbie mieszkańców, województwa oraz kraju</w:t>
      </w:r>
      <w:r w:rsidR="006A1A22" w:rsidRPr="006A1A22">
        <w:rPr>
          <w:rFonts w:ascii="Calibri" w:hAnsi="Calibri" w:cs="Tahoma"/>
          <w:sz w:val="20"/>
          <w:szCs w:val="22"/>
        </w:rPr>
        <w:t>.</w:t>
      </w:r>
      <w:bookmarkEnd w:id="75"/>
    </w:p>
    <w:p w:rsidR="000A1556" w:rsidRPr="00662F03" w:rsidRDefault="005B1628" w:rsidP="0072145F">
      <w:pPr>
        <w:autoSpaceDE w:val="0"/>
        <w:autoSpaceDN w:val="0"/>
        <w:adjustRightInd w:val="0"/>
        <w:jc w:val="center"/>
        <w:rPr>
          <w:rFonts w:ascii="Calibri" w:hAnsi="Calibri" w:cs="MyriadPro-Regular"/>
          <w:noProof/>
          <w:sz w:val="22"/>
          <w:szCs w:val="22"/>
        </w:rPr>
      </w:pPr>
      <w:r>
        <w:rPr>
          <w:rFonts w:ascii="Calibri" w:hAnsi="Calibri" w:cs="MyriadPro-Regular"/>
          <w:noProof/>
          <w:sz w:val="22"/>
          <w:szCs w:val="22"/>
        </w:rPr>
        <w:drawing>
          <wp:inline distT="0" distB="0" distL="0" distR="0">
            <wp:extent cx="5296930" cy="3405240"/>
            <wp:effectExtent l="19050" t="0" r="18020" b="4710"/>
            <wp:docPr id="6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29472F" w:rsidRPr="00662F03" w:rsidRDefault="0029472F" w:rsidP="0072145F">
      <w:pPr>
        <w:shd w:val="clear" w:color="auto" w:fill="FFFFFF"/>
        <w:jc w:val="both"/>
        <w:outlineLvl w:val="3"/>
        <w:rPr>
          <w:rFonts w:ascii="Calibri" w:hAnsi="Calibri" w:cs="Tahoma"/>
          <w:sz w:val="20"/>
          <w:szCs w:val="22"/>
        </w:rPr>
      </w:pPr>
      <w:r w:rsidRPr="00662F03">
        <w:rPr>
          <w:rFonts w:ascii="Calibri" w:hAnsi="Calibri" w:cs="Tahoma"/>
          <w:sz w:val="20"/>
          <w:szCs w:val="22"/>
        </w:rPr>
        <w:t>Źródło: opracowanie własne na podstawie danych GUS</w:t>
      </w:r>
      <w:r w:rsidR="004A24CA">
        <w:rPr>
          <w:rFonts w:ascii="Calibri" w:hAnsi="Calibri"/>
          <w:sz w:val="20"/>
        </w:rPr>
        <w:t>, Bank Danych Lokalnych</w:t>
      </w:r>
      <w:r w:rsidRPr="00662F03">
        <w:rPr>
          <w:rFonts w:ascii="Calibri" w:hAnsi="Calibri" w:cs="Tahoma"/>
          <w:sz w:val="20"/>
          <w:szCs w:val="22"/>
        </w:rPr>
        <w:t>.</w:t>
      </w:r>
    </w:p>
    <w:p w:rsidR="000A1556" w:rsidRPr="00662F03" w:rsidRDefault="000A1556" w:rsidP="0072145F">
      <w:pPr>
        <w:rPr>
          <w:rFonts w:ascii="Calibri" w:hAnsi="Calibri"/>
          <w:sz w:val="20"/>
          <w:szCs w:val="22"/>
        </w:rPr>
      </w:pPr>
    </w:p>
    <w:p w:rsidR="004717D3" w:rsidRPr="00295383" w:rsidRDefault="00295383" w:rsidP="00295383">
      <w:pPr>
        <w:rPr>
          <w:rFonts w:ascii="Calibri" w:hAnsi="Calibri"/>
          <w:sz w:val="20"/>
        </w:rPr>
      </w:pPr>
      <w:r>
        <w:rPr>
          <w:rFonts w:ascii="Calibri" w:hAnsi="Calibri"/>
          <w:sz w:val="20"/>
          <w:szCs w:val="22"/>
        </w:rPr>
        <w:br w:type="page"/>
      </w:r>
      <w:r w:rsidR="005433B6" w:rsidRPr="005433B6">
        <w:rPr>
          <w:rFonts w:ascii="Calibri" w:hAnsi="Calibri"/>
        </w:rPr>
      </w:r>
      <w:r w:rsidR="00072369" w:rsidRPr="005433B6">
        <w:rPr>
          <w:rFonts w:ascii="Calibri" w:hAnsi="Calibri"/>
        </w:rPr>
        <w:pict>
          <v:roundrect id="_x0000_s1038"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38;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8522CD">
        <w:rPr>
          <w:rFonts w:ascii="Calibri" w:hAnsi="Calibri" w:cs="Tahoma"/>
          <w:shadow/>
          <w:color w:val="808080"/>
          <w:sz w:val="22"/>
        </w:rPr>
        <w:t>Mieszkańcy miasta twierdzą, że oferta uprawiania sportu i rekreacji w mieście jest dla nich interesująca. Większość ważoną stanowi 67%. Kobiety są o wiele mniej o tym przekonane niż mężczyźni. Żadna grupa respondentów nie jest odmiennego zdania niż większość, choć osoby z wyższym wykształceniem częściej twierdzą, że oferta uprawiania sportu i rekreacji nie jest dla nich interesująca. Najbardziej z niej zadowoloną grupą są osoby młode w wieku 18-29 lat. Większość ocenia, że oferta uprawiana sportu i rekreacji jest mniej ważna niż inne kryteria oceny atrakcyjności miasta. To generalnie najniżej oceniana kategoria wśród czynników świadczących o atrakcyjności miasta jako miejsca zamieszkania. Waga oferty uprawiania sportu i rekreacji w ocenie atrakcyjności miasta jako miejsca zamieszkania spada wraz z wiekiem oraz wykształceniem. Ważniejsza jest dla mężczyzn niż dla kobiet.</w: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8522CD">
        <w:rPr>
          <w:rFonts w:ascii="Calibri" w:hAnsi="Calibri" w:cs="Tahoma"/>
          <w:b/>
          <w:shadow/>
          <w:color w:val="808080"/>
          <w:sz w:val="22"/>
        </w:rPr>
        <w:t>Wnioski:</w:t>
      </w:r>
      <w:r w:rsidRPr="008522CD">
        <w:rPr>
          <w:rFonts w:ascii="Calibri" w:hAnsi="Calibri" w:cs="Tahoma"/>
          <w:shadow/>
          <w:color w:val="808080"/>
          <w:sz w:val="22"/>
        </w:rPr>
        <w:t xml:space="preserve"> Oferta uprawiania sportu i rekreacji miasta jest uważana raczej za mocną stronę miasta, choć nie jest dla mieszkańców ważnym kryterium oceny atrakcyjności miejsca zamieszkania. Oznaczać to może, że w strategii nie powinno przywiązywać się do tej sfery zbyt dużego znaczenia. Priorytetowo należy traktować działania zmierzające do poprawy oferty skierowanej do osób z wyższym wykształceniem oraz osób w wieku 30-39 lat.</w:t>
      </w:r>
    </w:p>
    <w:p w:rsidR="00A5153A" w:rsidRPr="006A1A22" w:rsidRDefault="005A76CB" w:rsidP="006A1A22">
      <w:pPr>
        <w:pStyle w:val="Legenda"/>
        <w:jc w:val="both"/>
        <w:rPr>
          <w:rFonts w:ascii="Calibri" w:hAnsi="Calibri" w:cs="Tahoma"/>
          <w:b w:val="0"/>
          <w:shadow/>
          <w:color w:val="808080"/>
          <w:szCs w:val="22"/>
        </w:rPr>
      </w:pPr>
      <w:bookmarkStart w:id="76" w:name="_Toc315790522"/>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53</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mieście oferta uprawiania sportu i rekreacji jest interesująca.</w:t>
      </w:r>
      <w:bookmarkEnd w:id="76"/>
    </w:p>
    <w:p w:rsidR="00A5153A" w:rsidRPr="00662F03" w:rsidRDefault="005B1628" w:rsidP="008522CD">
      <w:pPr>
        <w:jc w:val="center"/>
        <w:rPr>
          <w:rFonts w:ascii="Calibri" w:hAnsi="Calibri"/>
        </w:rPr>
      </w:pPr>
      <w:r>
        <w:rPr>
          <w:rFonts w:ascii="Calibri" w:hAnsi="Calibri"/>
          <w:noProof/>
        </w:rPr>
        <w:drawing>
          <wp:inline distT="0" distB="0" distL="0" distR="0">
            <wp:extent cx="4820526" cy="2724725"/>
            <wp:effectExtent l="19050" t="0" r="18174" b="0"/>
            <wp:docPr id="71"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5A76CB" w:rsidRPr="006A1A22" w:rsidRDefault="005A76CB" w:rsidP="005A76CB">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5A76CB" w:rsidRPr="006A1A22" w:rsidRDefault="00295383" w:rsidP="006A1A22">
      <w:pPr>
        <w:pStyle w:val="Legenda"/>
        <w:jc w:val="both"/>
        <w:rPr>
          <w:rFonts w:ascii="Calibri" w:hAnsi="Calibri"/>
          <w:b w:val="0"/>
          <w:sz w:val="18"/>
        </w:rPr>
      </w:pPr>
      <w:r>
        <w:rPr>
          <w:rFonts w:ascii="Calibri" w:hAnsi="Calibri"/>
          <w:b w:val="0"/>
          <w:bCs w:val="0"/>
          <w:sz w:val="24"/>
          <w:szCs w:val="24"/>
        </w:rPr>
        <w:br w:type="page"/>
      </w:r>
      <w:bookmarkStart w:id="77" w:name="_Toc315790523"/>
      <w:r w:rsidR="005A76CB" w:rsidRPr="006A1A22">
        <w:rPr>
          <w:rFonts w:ascii="Calibri" w:hAnsi="Calibri"/>
          <w:b w:val="0"/>
          <w:sz w:val="18"/>
        </w:rPr>
        <w:lastRenderedPageBreak/>
        <w:t xml:space="preserve">Wykres </w:t>
      </w:r>
      <w:r w:rsidR="005433B6" w:rsidRPr="006A1A22">
        <w:rPr>
          <w:rFonts w:ascii="Calibri" w:hAnsi="Calibri"/>
          <w:b w:val="0"/>
          <w:sz w:val="18"/>
        </w:rPr>
        <w:fldChar w:fldCharType="begin"/>
      </w:r>
      <w:r w:rsidR="005A76CB"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54</w:t>
      </w:r>
      <w:r w:rsidR="005433B6" w:rsidRPr="006A1A22">
        <w:rPr>
          <w:rFonts w:ascii="Calibri" w:hAnsi="Calibri"/>
          <w:b w:val="0"/>
          <w:sz w:val="18"/>
        </w:rPr>
        <w:fldChar w:fldCharType="end"/>
      </w:r>
      <w:r w:rsidR="005A76CB"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oferta uprawiania sportu i rekreacji ma znaczenie w atrakcyjności miasta jako miejsca zamieszkania.</w:t>
      </w:r>
      <w:bookmarkEnd w:id="77"/>
    </w:p>
    <w:p w:rsidR="00A5153A" w:rsidRPr="00662F03" w:rsidRDefault="005B1628" w:rsidP="008522CD">
      <w:pPr>
        <w:jc w:val="center"/>
        <w:rPr>
          <w:rFonts w:ascii="Calibri" w:hAnsi="Calibri"/>
        </w:rPr>
      </w:pPr>
      <w:r>
        <w:rPr>
          <w:rFonts w:ascii="Calibri" w:hAnsi="Calibri"/>
          <w:noProof/>
        </w:rPr>
        <w:drawing>
          <wp:inline distT="0" distB="0" distL="0" distR="0">
            <wp:extent cx="4566890" cy="2843149"/>
            <wp:effectExtent l="19050" t="0" r="24160" b="0"/>
            <wp:docPr id="72" name="Wykres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5A76CB" w:rsidRPr="006A1A22" w:rsidRDefault="005A76CB" w:rsidP="005A76CB">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8522CD">
        <w:rPr>
          <w:rFonts w:ascii="Calibri" w:hAnsi="Calibri" w:cs="Tahoma"/>
          <w:shadow/>
          <w:color w:val="808080"/>
          <w:sz w:val="22"/>
        </w:rPr>
        <w:t>Mieszkańcy miasta twierdzą, że w mieście jest wiele miejsc, w których mogą wypocząć. Twierdzi tak zdecydowana większość 83% (ocena ważona). Mężczyźni są mniej o tym przekonani niż kobiety. Żadna grupa respondentów nie jest odmiennego zdania niż większość, choć osoby z wyższym wykształceniem o wiele częściej twierdzą, że jednak w mieście nie ma wielu miejsc do wypoczynku. Osoby powyżej 40 roku życia są najbardziej zadowoloną grupą wiekową z miejsc do wypoczynku. Większość ocenia, że miejsca do wypoczynku są ważnym kryterium oceny atrakcyjności miasta. Waga tego kryterium w ocenie atrakcyjności miasta jako miejsca zamieszkania jest podobnie oceniana przez wszystkie grupy, choć można zauważyć, że wzrasta ona wraz z wiekiem respondentów. Ważniejsza jest dla kobiet niż dla mężczyzn.</w: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8522CD">
        <w:rPr>
          <w:rFonts w:ascii="Calibri" w:hAnsi="Calibri" w:cs="Tahoma"/>
          <w:b/>
          <w:shadow/>
          <w:color w:val="808080"/>
          <w:sz w:val="22"/>
        </w:rPr>
        <w:t>Wnioski:</w:t>
      </w:r>
      <w:r w:rsidRPr="008522CD">
        <w:rPr>
          <w:rFonts w:ascii="Calibri" w:hAnsi="Calibri" w:cs="Tahoma"/>
          <w:shadow/>
          <w:color w:val="808080"/>
          <w:sz w:val="22"/>
        </w:rPr>
        <w:t xml:space="preserve"> Oferta miejsc do wypoczynku miasta jest uważana za mocną stronę miasta i należy ją wykorzystać dla rozwoju. Choć obecnie jest oceniana wysoko, co świadczy o zaspokojeniu popytu, to równocześnie jest bardzo ważna dla mieszkańców.</w:t>
      </w:r>
    </w:p>
    <w:p w:rsidR="00A5153A" w:rsidRPr="006A1A22" w:rsidRDefault="005A76CB" w:rsidP="006A1A22">
      <w:pPr>
        <w:pStyle w:val="Legenda"/>
        <w:jc w:val="both"/>
        <w:rPr>
          <w:rFonts w:ascii="Calibri" w:hAnsi="Calibri" w:cs="Tahoma"/>
          <w:b w:val="0"/>
          <w:shadow/>
          <w:color w:val="808080"/>
          <w:szCs w:val="22"/>
        </w:rPr>
      </w:pPr>
      <w:bookmarkStart w:id="78" w:name="_Toc315790524"/>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55</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mieście jest dużo miejsc do wypoczynku.</w:t>
      </w:r>
      <w:bookmarkEnd w:id="78"/>
    </w:p>
    <w:p w:rsidR="00A5153A" w:rsidRPr="00662F03" w:rsidRDefault="005B1628" w:rsidP="008522CD">
      <w:pPr>
        <w:jc w:val="center"/>
        <w:rPr>
          <w:rFonts w:ascii="Calibri" w:hAnsi="Calibri"/>
        </w:rPr>
      </w:pPr>
      <w:r>
        <w:rPr>
          <w:rFonts w:ascii="Calibri" w:hAnsi="Calibri"/>
          <w:noProof/>
        </w:rPr>
        <w:drawing>
          <wp:inline distT="0" distB="0" distL="0" distR="0">
            <wp:extent cx="4778275" cy="2915602"/>
            <wp:effectExtent l="19050" t="0" r="22325" b="0"/>
            <wp:docPr id="73"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5A76CB" w:rsidRPr="006A1A22" w:rsidRDefault="005A76CB" w:rsidP="005A76CB">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5A76CB" w:rsidRPr="00662F03" w:rsidRDefault="005A76CB" w:rsidP="00A5153A">
      <w:pPr>
        <w:jc w:val="both"/>
        <w:rPr>
          <w:rFonts w:ascii="Calibri" w:hAnsi="Calibri"/>
        </w:rPr>
      </w:pPr>
    </w:p>
    <w:p w:rsidR="005A76CB" w:rsidRPr="006A1A22" w:rsidRDefault="005A76CB" w:rsidP="005A76CB">
      <w:pPr>
        <w:pStyle w:val="Legenda"/>
        <w:rPr>
          <w:rFonts w:ascii="Calibri" w:hAnsi="Calibri"/>
          <w:b w:val="0"/>
          <w:sz w:val="18"/>
        </w:rPr>
      </w:pPr>
      <w:bookmarkStart w:id="79" w:name="_Toc315790525"/>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56</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to, że w mieście jest dużo miejsc do wypoczynku, ma znaczenie w atrakcyjności miasta jako miejsca zamieszkania.</w:t>
      </w:r>
      <w:bookmarkEnd w:id="79"/>
    </w:p>
    <w:p w:rsidR="00A5153A" w:rsidRPr="00662F03" w:rsidRDefault="005B1628" w:rsidP="008522CD">
      <w:pPr>
        <w:jc w:val="center"/>
        <w:rPr>
          <w:rFonts w:ascii="Calibri" w:hAnsi="Calibri"/>
        </w:rPr>
      </w:pPr>
      <w:r>
        <w:rPr>
          <w:rFonts w:ascii="Calibri" w:hAnsi="Calibri"/>
          <w:noProof/>
        </w:rPr>
        <w:drawing>
          <wp:inline distT="0" distB="0" distL="0" distR="0">
            <wp:extent cx="4679792" cy="2788767"/>
            <wp:effectExtent l="19050" t="0" r="25558" b="0"/>
            <wp:docPr id="74"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5A76CB" w:rsidRPr="006A1A22" w:rsidRDefault="005A76CB" w:rsidP="005A76CB">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4717D3" w:rsidRPr="00662F03" w:rsidRDefault="004717D3" w:rsidP="004E5A9A">
      <w:pPr>
        <w:rPr>
          <w:rFonts w:ascii="Calibri" w:hAnsi="Calibri"/>
          <w:sz w:val="20"/>
          <w:szCs w:val="22"/>
        </w:rPr>
      </w:pPr>
    </w:p>
    <w:p w:rsidR="003616F2" w:rsidRPr="00662F03" w:rsidRDefault="005433B6" w:rsidP="004E5A9A">
      <w:pPr>
        <w:rPr>
          <w:rFonts w:ascii="Calibri" w:hAnsi="Calibri" w:cs="MyriadPro-Regular"/>
          <w:noProof/>
          <w:sz w:val="22"/>
          <w:szCs w:val="22"/>
        </w:rPr>
      </w:pPr>
      <w:r>
        <w:rPr>
          <w:rFonts w:ascii="Calibri" w:hAnsi="Calibri" w:cs="MyriadPro-Regular"/>
          <w:noProof/>
          <w:sz w:val="22"/>
          <w:szCs w:val="22"/>
        </w:rPr>
      </w:r>
      <w:r w:rsidR="00D24064">
        <w:rPr>
          <w:rFonts w:ascii="Calibri" w:hAnsi="Calibri" w:cs="MyriadPro-Regular"/>
          <w:noProof/>
          <w:sz w:val="22"/>
          <w:szCs w:val="22"/>
        </w:rPr>
        <w:pict>
          <v:rect id="_x0000_s1037" style="width:449.8pt;height:130pt;rotation:-360;mso-position-horizontal-relative:char;mso-position-vertical-relative:line" o:allowincell="f" fillcolor="#a7bfde" stroked="f">
            <v:fill opacity="13107f"/>
            <v:imagedata embosscolor="shadow add(51)"/>
            <v:shadow on="t" color="#d4cfb3" opacity=".5" offset="19pt,-21pt" offset2="26pt,-30pt"/>
            <v:textbox style="mso-next-textbox:#_x0000_s1037;mso-fit-shape-to-text:t" inset="28.8pt,7.2pt,14.4pt,28.8pt">
              <w:txbxContent>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996028">
                  <w:pPr>
                    <w:jc w:val="both"/>
                    <w:rPr>
                      <w:rFonts w:ascii="Calibri" w:hAnsi="Calibri"/>
                      <w:i/>
                      <w:iCs/>
                      <w:color w:val="1F497D"/>
                      <w:sz w:val="22"/>
                      <w:szCs w:val="28"/>
                    </w:rPr>
                  </w:pPr>
                  <w:r>
                    <w:rPr>
                      <w:rFonts w:ascii="Calibri" w:hAnsi="Calibri"/>
                      <w:i/>
                      <w:iCs/>
                      <w:color w:val="1F497D"/>
                      <w:sz w:val="22"/>
                      <w:szCs w:val="28"/>
                    </w:rPr>
                    <w:t xml:space="preserve">Część obiektów sportowych i rekreacyjnych jest w złym stanie technicznym, dlatego konieczna jest ich przebudowa i remonty. </w:t>
                  </w:r>
                  <w:r w:rsidRPr="00EC0E96">
                    <w:rPr>
                      <w:rFonts w:ascii="Calibri" w:hAnsi="Calibri"/>
                      <w:i/>
                      <w:iCs/>
                      <w:color w:val="1F497D"/>
                      <w:sz w:val="22"/>
                      <w:szCs w:val="28"/>
                    </w:rPr>
                    <w:t>Rozwój sportu w Nowej Soli powinien być następstwem wspierania sportu masowego poprzez promowanie a</w:t>
                  </w:r>
                  <w:r>
                    <w:rPr>
                      <w:rFonts w:ascii="Calibri" w:hAnsi="Calibri"/>
                      <w:i/>
                      <w:iCs/>
                      <w:color w:val="1F497D"/>
                      <w:sz w:val="22"/>
                      <w:szCs w:val="28"/>
                    </w:rPr>
                    <w:t xml:space="preserve">ktywności fizycznej mieszkańców, w każdej grupie wiekowej. </w:t>
                  </w:r>
                  <w:r w:rsidRPr="00EC0E96">
                    <w:rPr>
                      <w:rFonts w:ascii="Calibri" w:hAnsi="Calibri"/>
                      <w:i/>
                      <w:iCs/>
                      <w:color w:val="1F497D"/>
                      <w:sz w:val="22"/>
                      <w:szCs w:val="28"/>
                    </w:rPr>
                    <w:t xml:space="preserve">Ważne są </w:t>
                  </w:r>
                  <w:r>
                    <w:rPr>
                      <w:rFonts w:ascii="Calibri" w:hAnsi="Calibri"/>
                      <w:i/>
                      <w:iCs/>
                      <w:color w:val="1F497D"/>
                      <w:sz w:val="22"/>
                      <w:szCs w:val="28"/>
                    </w:rPr>
                    <w:t xml:space="preserve">także </w:t>
                  </w:r>
                  <w:r w:rsidRPr="00EC0E96">
                    <w:rPr>
                      <w:rFonts w:ascii="Calibri" w:hAnsi="Calibri"/>
                      <w:i/>
                      <w:iCs/>
                      <w:color w:val="1F497D"/>
                      <w:sz w:val="22"/>
                      <w:szCs w:val="28"/>
                    </w:rPr>
                    <w:t>dalsze działania na rzecz organizacji prestiżowych imprez kulturalnych i sportowych, co wymaga modernizacji istniejących i budowy nowych obiektów sportowych.</w:t>
                  </w:r>
                </w:p>
                <w:p w:rsidR="00D24064" w:rsidRDefault="00D24064" w:rsidP="006C1C0B">
                  <w:pPr>
                    <w:jc w:val="both"/>
                    <w:rPr>
                      <w:rFonts w:ascii="Calibri" w:hAnsi="Calibri"/>
                      <w:i/>
                      <w:iCs/>
                      <w:color w:val="1F497D"/>
                      <w:sz w:val="22"/>
                      <w:szCs w:val="28"/>
                    </w:rPr>
                  </w:pPr>
                  <w:r>
                    <w:rPr>
                      <w:rFonts w:ascii="Calibri" w:hAnsi="Calibri"/>
                      <w:i/>
                      <w:iCs/>
                      <w:color w:val="1F497D"/>
                      <w:sz w:val="22"/>
                      <w:szCs w:val="28"/>
                    </w:rPr>
                    <w:t>Atrakcyjność turystyczną Nowej Soli podnosi położenie w malowniczej dolinie Odry, infrastruktura nadodrzańska stanowi duży potencjał dla rozwoju sportu i turystyki w mieście. Ważnym miejscem rekreacji i wypoczynku dla mieszkańców jest Park Krasnala, który cieszy się dużym uznaniem również wśród turystów.</w:t>
                  </w:r>
                </w:p>
                <w:p w:rsidR="00D24064" w:rsidRDefault="00D24064" w:rsidP="006C1C0B">
                  <w:pPr>
                    <w:jc w:val="both"/>
                    <w:rPr>
                      <w:rFonts w:ascii="Calibri" w:hAnsi="Calibri"/>
                      <w:i/>
                      <w:iCs/>
                      <w:color w:val="1F497D"/>
                      <w:sz w:val="22"/>
                      <w:szCs w:val="28"/>
                    </w:rPr>
                  </w:pPr>
                  <w:r w:rsidRPr="00EC0E96">
                    <w:rPr>
                      <w:rFonts w:ascii="Calibri" w:hAnsi="Calibri"/>
                      <w:i/>
                      <w:iCs/>
                      <w:color w:val="1F497D"/>
                      <w:sz w:val="22"/>
                      <w:szCs w:val="28"/>
                    </w:rPr>
                    <w:t>W ramach rozwoju turystki kulturowej i aktywnej należy wzbogacać ofertę turystyczną wykorzystującą walory historyczne miasta związane z tradycjami solnymi.</w:t>
                  </w:r>
                </w:p>
                <w:p w:rsidR="00D24064" w:rsidRPr="00EC0E96" w:rsidRDefault="00D24064" w:rsidP="00996028">
                  <w:pPr>
                    <w:jc w:val="both"/>
                    <w:rPr>
                      <w:rFonts w:ascii="Calibri" w:hAnsi="Calibri"/>
                      <w:i/>
                      <w:iCs/>
                      <w:color w:val="1F497D"/>
                      <w:sz w:val="22"/>
                      <w:szCs w:val="28"/>
                    </w:rPr>
                  </w:pPr>
                  <w:r w:rsidRPr="00DC7506">
                    <w:rPr>
                      <w:rFonts w:ascii="Calibri" w:hAnsi="Calibri"/>
                      <w:i/>
                      <w:iCs/>
                      <w:color w:val="1F497D"/>
                      <w:sz w:val="22"/>
                      <w:szCs w:val="28"/>
                    </w:rPr>
                    <w:t>W mieście zdecydowanie n</w:t>
                  </w:r>
                  <w:r>
                    <w:rPr>
                      <w:rFonts w:ascii="Calibri" w:hAnsi="Calibri"/>
                      <w:i/>
                      <w:iCs/>
                      <w:color w:val="1F497D"/>
                      <w:sz w:val="22"/>
                      <w:szCs w:val="28"/>
                    </w:rPr>
                    <w:t>ie dominuje funkcja turystyczna, co potwierdzają dane statystyczne dotyczące liczby turystów korzystających z noclegów.</w:t>
                  </w:r>
                </w:p>
              </w:txbxContent>
            </v:textbox>
            <w10:wrap type="none" anchorx="margin" anchory="page"/>
            <w10:anchorlock/>
          </v:rect>
        </w:pict>
      </w:r>
    </w:p>
    <w:p w:rsidR="005A76CB" w:rsidRPr="00662F03" w:rsidRDefault="005A76CB" w:rsidP="004E5A9A">
      <w:pPr>
        <w:rPr>
          <w:rFonts w:ascii="Calibri" w:hAnsi="Calibri"/>
          <w:sz w:val="20"/>
          <w:szCs w:val="22"/>
        </w:rPr>
      </w:pPr>
    </w:p>
    <w:p w:rsidR="003451FE" w:rsidRPr="00662F03" w:rsidRDefault="0078532F" w:rsidP="007F5FC1">
      <w:pPr>
        <w:pStyle w:val="Nagwek2"/>
        <w:numPr>
          <w:ilvl w:val="1"/>
          <w:numId w:val="1"/>
        </w:numPr>
        <w:spacing w:line="240" w:lineRule="auto"/>
        <w:rPr>
          <w:rFonts w:ascii="Calibri" w:hAnsi="Calibri"/>
          <w:color w:val="17365D"/>
          <w:sz w:val="22"/>
          <w:szCs w:val="22"/>
        </w:rPr>
      </w:pPr>
      <w:bookmarkStart w:id="80" w:name="_Toc316395265"/>
      <w:r w:rsidRPr="00662F03">
        <w:rPr>
          <w:rFonts w:ascii="Calibri" w:hAnsi="Calibri"/>
          <w:color w:val="17365D"/>
          <w:sz w:val="22"/>
          <w:szCs w:val="22"/>
        </w:rPr>
        <w:t>Ochrona zdrowia i</w:t>
      </w:r>
      <w:r w:rsidR="003451FE" w:rsidRPr="00662F03">
        <w:rPr>
          <w:rFonts w:ascii="Calibri" w:hAnsi="Calibri"/>
          <w:color w:val="17365D"/>
          <w:sz w:val="22"/>
          <w:szCs w:val="22"/>
        </w:rPr>
        <w:t xml:space="preserve"> opieka społeczna</w:t>
      </w:r>
      <w:bookmarkEnd w:id="80"/>
    </w:p>
    <w:p w:rsidR="00856BD1" w:rsidRPr="00662F03" w:rsidRDefault="006475E6"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Zakłady Opieki Zdrowotnej na terenie Miasta Nowa Sól udzielają świadczeń na podstawie umów zawartych z Narodowym Funduszem Zdrowia. Liczba Zakładów Opieki Zdrowotnej znajdująca się w mieście zaspakaja potrzeby mieszkańców Nowej Soli. </w:t>
      </w:r>
      <w:r w:rsidR="00B94EB2" w:rsidRPr="00662F03">
        <w:rPr>
          <w:rFonts w:ascii="Calibri" w:hAnsi="Calibri" w:cs="Tahoma"/>
          <w:sz w:val="22"/>
          <w:szCs w:val="22"/>
        </w:rPr>
        <w:t>Na</w:t>
      </w:r>
      <w:r w:rsidRPr="00662F03">
        <w:rPr>
          <w:rFonts w:ascii="Calibri" w:hAnsi="Calibri" w:cs="Tahoma"/>
          <w:sz w:val="22"/>
          <w:szCs w:val="22"/>
        </w:rPr>
        <w:t>jwiększe</w:t>
      </w:r>
      <w:r w:rsidR="00B94EB2" w:rsidRPr="00662F03">
        <w:rPr>
          <w:rFonts w:ascii="Calibri" w:hAnsi="Calibri" w:cs="Tahoma"/>
          <w:sz w:val="22"/>
          <w:szCs w:val="22"/>
        </w:rPr>
        <w:t xml:space="preserve"> zakłady opieki zdrowotnej to: Wielospecjalistyczny Szpital Samodzielny Publiczny Zakład Opieki Zdrowotnej w Nowej Soli</w:t>
      </w:r>
      <w:r w:rsidR="001F24B2" w:rsidRPr="00662F03">
        <w:rPr>
          <w:rFonts w:ascii="Calibri" w:hAnsi="Calibri" w:cs="Tahoma"/>
          <w:sz w:val="22"/>
          <w:szCs w:val="22"/>
        </w:rPr>
        <w:t xml:space="preserve"> </w:t>
      </w:r>
      <w:r w:rsidR="00B94EB2" w:rsidRPr="00662F03">
        <w:rPr>
          <w:rFonts w:ascii="Calibri" w:hAnsi="Calibri" w:cs="Tahoma"/>
          <w:sz w:val="22"/>
          <w:szCs w:val="22"/>
        </w:rPr>
        <w:t>oraz Filia Dolnośląskiego Centrum Chorób Serca, Niepubliczny Zakład Opieki Zdrowotnej „M</w:t>
      </w:r>
      <w:r w:rsidR="001F24B2" w:rsidRPr="00662F03">
        <w:rPr>
          <w:rFonts w:ascii="Calibri" w:hAnsi="Calibri" w:cs="Tahoma"/>
          <w:sz w:val="22"/>
          <w:szCs w:val="22"/>
        </w:rPr>
        <w:t>EDINET” - Wrocław, w Nowej Soli</w:t>
      </w:r>
      <w:r w:rsidR="00B94EB2" w:rsidRPr="00662F03">
        <w:rPr>
          <w:rFonts w:ascii="Calibri" w:hAnsi="Calibri" w:cs="Tahoma"/>
          <w:sz w:val="22"/>
          <w:szCs w:val="22"/>
        </w:rPr>
        <w:t xml:space="preserve">. Ponadto istnieją 32 obiekty świadczące usługi medyczne w ramach NZOZ, SPZOZ i inne, w tym 25 to przychodnie funkcjonujące jako NZOZ-y, </w:t>
      </w:r>
      <w:r w:rsidR="00750425" w:rsidRPr="00662F03">
        <w:rPr>
          <w:rFonts w:ascii="Calibri" w:hAnsi="Calibri" w:cs="Tahoma"/>
          <w:sz w:val="22"/>
          <w:szCs w:val="22"/>
        </w:rPr>
        <w:t>dwie</w:t>
      </w:r>
      <w:r w:rsidR="00B94EB2" w:rsidRPr="00662F03">
        <w:rPr>
          <w:rFonts w:ascii="Calibri" w:hAnsi="Calibri" w:cs="Tahoma"/>
          <w:sz w:val="22"/>
          <w:szCs w:val="22"/>
        </w:rPr>
        <w:t xml:space="preserve"> poradnie specjalistyczne WSSPZOZ, </w:t>
      </w:r>
      <w:r w:rsidR="00750425" w:rsidRPr="00662F03">
        <w:rPr>
          <w:rFonts w:ascii="Calibri" w:hAnsi="Calibri" w:cs="Tahoma"/>
          <w:sz w:val="22"/>
          <w:szCs w:val="22"/>
        </w:rPr>
        <w:t>laboratorium diagnostyczne,</w:t>
      </w:r>
      <w:r w:rsidR="00B94EB2" w:rsidRPr="00662F03">
        <w:rPr>
          <w:rFonts w:ascii="Calibri" w:hAnsi="Calibri" w:cs="Tahoma"/>
          <w:sz w:val="22"/>
          <w:szCs w:val="22"/>
        </w:rPr>
        <w:t xml:space="preserve"> </w:t>
      </w:r>
      <w:r w:rsidR="00750425" w:rsidRPr="00662F03">
        <w:rPr>
          <w:rFonts w:ascii="Calibri" w:hAnsi="Calibri" w:cs="Tahoma"/>
          <w:sz w:val="22"/>
          <w:szCs w:val="22"/>
        </w:rPr>
        <w:t>Ośrodek Rehabilitacji L</w:t>
      </w:r>
      <w:r w:rsidR="00B94EB2" w:rsidRPr="00662F03">
        <w:rPr>
          <w:rFonts w:ascii="Calibri" w:hAnsi="Calibri" w:cs="Tahoma"/>
          <w:sz w:val="22"/>
          <w:szCs w:val="22"/>
        </w:rPr>
        <w:t xml:space="preserve">eczniczej, </w:t>
      </w:r>
      <w:r w:rsidR="00750425" w:rsidRPr="00662F03">
        <w:rPr>
          <w:rFonts w:ascii="Calibri" w:hAnsi="Calibri" w:cs="Tahoma"/>
          <w:sz w:val="22"/>
          <w:szCs w:val="22"/>
        </w:rPr>
        <w:t xml:space="preserve">jeden </w:t>
      </w:r>
      <w:r w:rsidR="00B94EB2" w:rsidRPr="00662F03">
        <w:rPr>
          <w:rFonts w:ascii="Calibri" w:hAnsi="Calibri" w:cs="Tahoma"/>
          <w:sz w:val="22"/>
          <w:szCs w:val="22"/>
        </w:rPr>
        <w:t xml:space="preserve">inny zakład opieki </w:t>
      </w:r>
      <w:r w:rsidR="00B94EB2" w:rsidRPr="00662F03">
        <w:rPr>
          <w:rFonts w:ascii="Calibri" w:hAnsi="Calibri" w:cs="Tahoma"/>
          <w:sz w:val="22"/>
          <w:szCs w:val="22"/>
        </w:rPr>
        <w:lastRenderedPageBreak/>
        <w:t>zdrowotne</w:t>
      </w:r>
      <w:r w:rsidR="001F24B2" w:rsidRPr="00662F03">
        <w:rPr>
          <w:rFonts w:ascii="Calibri" w:hAnsi="Calibri" w:cs="Tahoma"/>
          <w:sz w:val="22"/>
          <w:szCs w:val="22"/>
        </w:rPr>
        <w:t>j</w:t>
      </w:r>
      <w:r w:rsidR="00B94EB2" w:rsidRPr="00662F03">
        <w:rPr>
          <w:rFonts w:ascii="Calibri" w:hAnsi="Calibri" w:cs="Tahoma"/>
          <w:sz w:val="22"/>
          <w:szCs w:val="22"/>
        </w:rPr>
        <w:t xml:space="preserve"> oraz </w:t>
      </w:r>
      <w:r w:rsidR="00750425" w:rsidRPr="00662F03">
        <w:rPr>
          <w:rFonts w:ascii="Calibri" w:hAnsi="Calibri" w:cs="Tahoma"/>
          <w:sz w:val="22"/>
          <w:szCs w:val="22"/>
        </w:rPr>
        <w:t>dwa</w:t>
      </w:r>
      <w:r w:rsidR="00B94EB2" w:rsidRPr="00662F03">
        <w:rPr>
          <w:rFonts w:ascii="Calibri" w:hAnsi="Calibri" w:cs="Tahoma"/>
          <w:sz w:val="22"/>
          <w:szCs w:val="22"/>
        </w:rPr>
        <w:t xml:space="preserve"> obiekty nie będące zakładami opieki zdrowotnej świadczące usługi medyczne</w:t>
      </w:r>
      <w:r w:rsidR="00F00F58" w:rsidRPr="00662F03">
        <w:rPr>
          <w:rFonts w:ascii="Calibri" w:hAnsi="Calibri" w:cs="Tahoma"/>
          <w:sz w:val="20"/>
          <w:vertAlign w:val="superscript"/>
        </w:rPr>
        <w:footnoteReference w:id="22"/>
      </w:r>
      <w:r w:rsidR="00B94EB2" w:rsidRPr="00662F03">
        <w:rPr>
          <w:rFonts w:ascii="Calibri" w:hAnsi="Calibri" w:cs="Tahoma"/>
          <w:sz w:val="22"/>
          <w:szCs w:val="22"/>
        </w:rPr>
        <w:t xml:space="preserve">. </w:t>
      </w:r>
      <w:r w:rsidR="008844EC" w:rsidRPr="00662F03">
        <w:rPr>
          <w:rFonts w:ascii="Calibri" w:hAnsi="Calibri" w:cs="Tahoma"/>
          <w:sz w:val="22"/>
          <w:szCs w:val="22"/>
        </w:rPr>
        <w:t xml:space="preserve">Szpital </w:t>
      </w:r>
      <w:r w:rsidR="00F00F58" w:rsidRPr="00662F03">
        <w:rPr>
          <w:rFonts w:ascii="Calibri" w:hAnsi="Calibri" w:cs="Tahoma"/>
          <w:sz w:val="22"/>
          <w:szCs w:val="22"/>
        </w:rPr>
        <w:t>oraz publiczne i niepubliczne przychodnie zapewniają mieszkańcom miasta podstawową i specjalistyczną opiekę medyczną. Korzystanie z pozostałych specjalistycznych usług medycznych odbywa się w placów</w:t>
      </w:r>
      <w:r w:rsidR="008844EC" w:rsidRPr="00662F03">
        <w:rPr>
          <w:rFonts w:ascii="Calibri" w:hAnsi="Calibri" w:cs="Tahoma"/>
          <w:sz w:val="22"/>
          <w:szCs w:val="22"/>
        </w:rPr>
        <w:t>kach zlokalizowanych poza miastem</w:t>
      </w:r>
      <w:r w:rsidR="00F00F58" w:rsidRPr="00662F03">
        <w:rPr>
          <w:rFonts w:ascii="Calibri" w:hAnsi="Calibri" w:cs="Tahoma"/>
          <w:sz w:val="22"/>
          <w:szCs w:val="22"/>
        </w:rPr>
        <w:t xml:space="preserve">, głównie w Zielonej Górze. </w:t>
      </w:r>
      <w:r w:rsidR="00C97442" w:rsidRPr="00662F03">
        <w:rPr>
          <w:rFonts w:ascii="Calibri" w:hAnsi="Calibri" w:cs="Tahoma"/>
          <w:sz w:val="22"/>
          <w:szCs w:val="22"/>
        </w:rPr>
        <w:t>N</w:t>
      </w:r>
      <w:r w:rsidR="001D365D" w:rsidRPr="00662F03">
        <w:rPr>
          <w:rFonts w:ascii="Calibri" w:hAnsi="Calibri" w:cs="Tahoma"/>
          <w:sz w:val="22"/>
          <w:szCs w:val="22"/>
        </w:rPr>
        <w:t>a 1 zakład opieki zdrowotnej przypada 1664 mieszkańców.</w:t>
      </w:r>
    </w:p>
    <w:p w:rsidR="00403BFB" w:rsidRPr="00662F03" w:rsidRDefault="005E1F88"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Wysokospecjalistyczny Szpital Samodzieln</w:t>
      </w:r>
      <w:r w:rsidR="008613D8" w:rsidRPr="00662F03">
        <w:rPr>
          <w:rFonts w:ascii="Calibri" w:hAnsi="Calibri" w:cs="Tahoma"/>
          <w:sz w:val="22"/>
          <w:szCs w:val="22"/>
        </w:rPr>
        <w:t>ego</w:t>
      </w:r>
      <w:r w:rsidRPr="00662F03">
        <w:rPr>
          <w:rFonts w:ascii="Calibri" w:hAnsi="Calibri" w:cs="Tahoma"/>
          <w:sz w:val="22"/>
          <w:szCs w:val="22"/>
        </w:rPr>
        <w:t xml:space="preserve"> Publiczn</w:t>
      </w:r>
      <w:r w:rsidR="008613D8" w:rsidRPr="00662F03">
        <w:rPr>
          <w:rFonts w:ascii="Calibri" w:hAnsi="Calibri" w:cs="Tahoma"/>
          <w:sz w:val="22"/>
          <w:szCs w:val="22"/>
        </w:rPr>
        <w:t>ego</w:t>
      </w:r>
      <w:r w:rsidRPr="00662F03">
        <w:rPr>
          <w:rFonts w:ascii="Calibri" w:hAnsi="Calibri" w:cs="Tahoma"/>
          <w:sz w:val="22"/>
          <w:szCs w:val="22"/>
        </w:rPr>
        <w:t xml:space="preserve"> Zakład</w:t>
      </w:r>
      <w:r w:rsidR="008613D8" w:rsidRPr="00662F03">
        <w:rPr>
          <w:rFonts w:ascii="Calibri" w:hAnsi="Calibri" w:cs="Tahoma"/>
          <w:sz w:val="22"/>
          <w:szCs w:val="22"/>
        </w:rPr>
        <w:t>u</w:t>
      </w:r>
      <w:r w:rsidRPr="00662F03">
        <w:rPr>
          <w:rFonts w:ascii="Calibri" w:hAnsi="Calibri" w:cs="Tahoma"/>
          <w:sz w:val="22"/>
          <w:szCs w:val="22"/>
        </w:rPr>
        <w:t xml:space="preserve"> Opieki Zdrowotnej w Nowej Soli funkcjonuje jako zakład oferujący szeroki zakres i wysoką jakość specjalistycznych świadczeń zdrowotnych ambulatoryjnych, stacjonarnych i diagnostycznych udzielanych przez wysokokwalifikowaną kadrę medyczną. </w:t>
      </w:r>
      <w:r w:rsidR="00403BFB" w:rsidRPr="00662F03">
        <w:rPr>
          <w:rFonts w:ascii="Calibri" w:hAnsi="Calibri" w:cs="Tahoma"/>
          <w:sz w:val="22"/>
          <w:szCs w:val="22"/>
        </w:rPr>
        <w:t>Oddział ginekologiczno-położniczy i neonatologii nowosolskiego szpitala otrzymały III, najwyższy stopień referencyjności. Tym samym oba oddziały osiągnęły najwyższe standardy w lecznictwie szpitalnym. Daje to możliwość diagnozowania i leczenia na poziomie specjalistycznych klinik.</w:t>
      </w:r>
    </w:p>
    <w:p w:rsidR="001D365D" w:rsidRPr="00662F03" w:rsidRDefault="005E1F88"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Szpital realizuje projekty dofinansowane z Programu Operacyjnego Infrastruktura i Środowisko, związane z zakupem sprzętu i aparatury medycznej oraz modernizacją Szpitalnego Oddziału Ratunkowego i lądowiska dla helikopterów. </w:t>
      </w:r>
      <w:r w:rsidR="00DF1DE1" w:rsidRPr="00662F03">
        <w:rPr>
          <w:rFonts w:ascii="Calibri" w:hAnsi="Calibri" w:cs="Tahoma"/>
          <w:sz w:val="22"/>
          <w:szCs w:val="22"/>
        </w:rPr>
        <w:t>Ponadto Szpital uzyskał dofinansowanie z Lubuskiego Regionalnego Programu Operacyjnego 2007-2013 na termomodernizację 10 budynków Wielospecjalistycznego Szpitala Samodzielnego Publicznego ZOZ w Nowej Soli oraz modernizację Zakładu Radiologii poprzez zakup nowoczesnych aparatów rentgenowskich dla Wielospecjalistycznego Szpitala Samodzielnego Publicznego ZOZ w Nowej Soli</w:t>
      </w:r>
      <w:r w:rsidR="00C97442" w:rsidRPr="00662F03">
        <w:rPr>
          <w:rFonts w:ascii="Calibri" w:hAnsi="Calibri" w:cs="Tahoma"/>
          <w:sz w:val="22"/>
          <w:szCs w:val="22"/>
        </w:rPr>
        <w:t>.</w:t>
      </w:r>
      <w:r w:rsidR="00B94EB2" w:rsidRPr="00662F03">
        <w:rPr>
          <w:rFonts w:ascii="Calibri" w:hAnsi="Calibri" w:cs="Tahoma"/>
          <w:sz w:val="22"/>
          <w:szCs w:val="22"/>
        </w:rPr>
        <w:t xml:space="preserve"> Szpital posiada około 400 łóżek.</w:t>
      </w:r>
    </w:p>
    <w:p w:rsidR="001D365D" w:rsidRPr="00662F03" w:rsidRDefault="0044318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Działania w zakresie pomocy społecznej realizowane są przez Miejski Ośrodek Pomocy Społecznej w Nowej Soli, który w swej strukturze posiada: </w:t>
      </w:r>
      <w:r w:rsidR="001F24B2" w:rsidRPr="00662F03">
        <w:rPr>
          <w:rFonts w:ascii="Calibri" w:hAnsi="Calibri" w:cs="Tahoma"/>
          <w:sz w:val="22"/>
          <w:szCs w:val="22"/>
        </w:rPr>
        <w:t>n</w:t>
      </w:r>
      <w:r w:rsidRPr="00662F03">
        <w:rPr>
          <w:rFonts w:ascii="Calibri" w:hAnsi="Calibri" w:cs="Tahoma"/>
          <w:sz w:val="22"/>
          <w:szCs w:val="22"/>
        </w:rPr>
        <w:t>oclegownię, Środowiskowy Dom Samopomocy</w:t>
      </w:r>
      <w:r w:rsidR="001F24B2" w:rsidRPr="00662F03">
        <w:rPr>
          <w:rFonts w:ascii="Calibri" w:hAnsi="Calibri" w:cs="Tahoma"/>
          <w:sz w:val="22"/>
          <w:szCs w:val="22"/>
        </w:rPr>
        <w:t xml:space="preserve"> i</w:t>
      </w:r>
      <w:r w:rsidRPr="00662F03">
        <w:rPr>
          <w:rFonts w:ascii="Calibri" w:hAnsi="Calibri" w:cs="Tahoma"/>
          <w:sz w:val="22"/>
          <w:szCs w:val="22"/>
        </w:rPr>
        <w:t xml:space="preserve"> </w:t>
      </w:r>
      <w:r w:rsidR="001F24B2" w:rsidRPr="00662F03">
        <w:rPr>
          <w:rFonts w:ascii="Calibri" w:hAnsi="Calibri" w:cs="Tahoma"/>
          <w:sz w:val="22"/>
          <w:szCs w:val="22"/>
        </w:rPr>
        <w:t>ż</w:t>
      </w:r>
      <w:r w:rsidRPr="00662F03">
        <w:rPr>
          <w:rFonts w:ascii="Calibri" w:hAnsi="Calibri" w:cs="Tahoma"/>
          <w:sz w:val="22"/>
          <w:szCs w:val="22"/>
        </w:rPr>
        <w:t xml:space="preserve">łobek. </w:t>
      </w:r>
      <w:r w:rsidR="001D365D" w:rsidRPr="00662F03">
        <w:rPr>
          <w:rFonts w:ascii="Calibri" w:hAnsi="Calibri" w:cs="Tahoma"/>
          <w:sz w:val="22"/>
          <w:szCs w:val="22"/>
        </w:rPr>
        <w:t xml:space="preserve">W 2008 roku udział beneficjentów pomocy społecznej w liczbie ludności ogółem wyniósł 5,3%, </w:t>
      </w:r>
      <w:r w:rsidR="00464392" w:rsidRPr="00662F03">
        <w:rPr>
          <w:rFonts w:ascii="Calibri" w:hAnsi="Calibri" w:cs="Tahoma"/>
          <w:sz w:val="22"/>
          <w:szCs w:val="22"/>
        </w:rPr>
        <w:t xml:space="preserve">natomiast w </w:t>
      </w:r>
      <w:r w:rsidR="00665FD4" w:rsidRPr="00662F03">
        <w:rPr>
          <w:rFonts w:ascii="Calibri" w:hAnsi="Calibri" w:cs="Tahoma"/>
          <w:sz w:val="22"/>
          <w:szCs w:val="22"/>
        </w:rPr>
        <w:t>latach 2009-2010</w:t>
      </w:r>
      <w:r w:rsidR="00464392" w:rsidRPr="00662F03">
        <w:rPr>
          <w:rFonts w:ascii="Calibri" w:hAnsi="Calibri" w:cs="Tahoma"/>
          <w:sz w:val="22"/>
          <w:szCs w:val="22"/>
        </w:rPr>
        <w:t xml:space="preserve"> zwiększył się do 7,2%</w:t>
      </w:r>
      <w:r w:rsidR="001D365D" w:rsidRPr="00662F03">
        <w:rPr>
          <w:rFonts w:ascii="Calibri" w:hAnsi="Calibri" w:cs="Tahoma"/>
          <w:sz w:val="22"/>
          <w:szCs w:val="22"/>
        </w:rPr>
        <w:t>.</w:t>
      </w:r>
      <w:r w:rsidRPr="00662F03">
        <w:rPr>
          <w:rFonts w:ascii="Calibri" w:hAnsi="Calibri" w:cs="Tahoma"/>
          <w:sz w:val="22"/>
          <w:szCs w:val="22"/>
        </w:rPr>
        <w:t xml:space="preserve"> </w:t>
      </w:r>
      <w:r w:rsidR="008F4F1E" w:rsidRPr="00662F03">
        <w:rPr>
          <w:rFonts w:ascii="Calibri" w:hAnsi="Calibri" w:cs="Tahoma"/>
          <w:sz w:val="22"/>
          <w:szCs w:val="22"/>
        </w:rPr>
        <w:t xml:space="preserve">W 2010 r. pomocą społeczną było objętych 1275 rodzin, tj. 2850 osób w rodzinach. </w:t>
      </w:r>
      <w:r w:rsidR="00FA0897" w:rsidRPr="00662F03">
        <w:rPr>
          <w:rFonts w:ascii="Calibri" w:hAnsi="Calibri" w:cs="Tahoma"/>
          <w:sz w:val="22"/>
          <w:szCs w:val="22"/>
        </w:rPr>
        <w:t>Do głównych powodów korzystania z pomocy społecznej należ</w:t>
      </w:r>
      <w:r w:rsidR="001F24B2" w:rsidRPr="00662F03">
        <w:rPr>
          <w:rFonts w:ascii="Calibri" w:hAnsi="Calibri" w:cs="Tahoma"/>
          <w:sz w:val="22"/>
          <w:szCs w:val="22"/>
        </w:rPr>
        <w:t>ą</w:t>
      </w:r>
      <w:r w:rsidR="00FA0897" w:rsidRPr="00662F03">
        <w:rPr>
          <w:rFonts w:ascii="Calibri" w:hAnsi="Calibri" w:cs="Tahoma"/>
          <w:sz w:val="22"/>
          <w:szCs w:val="22"/>
        </w:rPr>
        <w:t xml:space="preserve"> ubóstwo</w:t>
      </w:r>
      <w:r w:rsidR="003A5761" w:rsidRPr="00662F03">
        <w:rPr>
          <w:rFonts w:ascii="Calibri" w:hAnsi="Calibri" w:cs="Tahoma"/>
          <w:sz w:val="22"/>
          <w:szCs w:val="22"/>
        </w:rPr>
        <w:t>,</w:t>
      </w:r>
      <w:r w:rsidR="00FA0897" w:rsidRPr="00662F03">
        <w:rPr>
          <w:rFonts w:ascii="Calibri" w:hAnsi="Calibri" w:cs="Tahoma"/>
          <w:sz w:val="22"/>
          <w:szCs w:val="22"/>
        </w:rPr>
        <w:t xml:space="preserve"> bezrobocie</w:t>
      </w:r>
      <w:r w:rsidR="003A5761" w:rsidRPr="00662F03">
        <w:rPr>
          <w:rFonts w:ascii="Calibri" w:hAnsi="Calibri" w:cs="Tahoma"/>
          <w:sz w:val="22"/>
          <w:szCs w:val="22"/>
        </w:rPr>
        <w:t>, niepełnosprawność oraz długotrwała lub ciężka choroba</w:t>
      </w:r>
      <w:r w:rsidR="00FA0897" w:rsidRPr="00662F03">
        <w:rPr>
          <w:rFonts w:ascii="Calibri" w:hAnsi="Calibri" w:cs="Tahoma"/>
          <w:sz w:val="22"/>
          <w:szCs w:val="22"/>
        </w:rPr>
        <w:t>.</w:t>
      </w:r>
    </w:p>
    <w:p w:rsidR="007F77A4" w:rsidRPr="00662F03" w:rsidRDefault="007F77A4" w:rsidP="004E5A9A">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Służby polityki społecznej zwracają uwagę na problemy w zapewnieniu miejsc w Domach Pomocy Społecznej całodobowych. Szczególny niedobór dotyczy miejsc dla osób z zaburzeniami psychicznymi. Brak jest również zakładu opiekuńczo-leczniczego. Miasto ponosi duże koszty związane z lokowaniem własnych mieszkańców w zakładach opiekuńczo-leczniczych innych gmin. Widoczny jest również brak schroniska dla osób bezdomnych.</w:t>
      </w:r>
    </w:p>
    <w:p w:rsidR="00C9527E" w:rsidRPr="00662F03" w:rsidRDefault="00513CF9"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nie ma placówki opiekuńczo-wycho</w:t>
      </w:r>
      <w:r w:rsidR="005168DE" w:rsidRPr="00662F03">
        <w:rPr>
          <w:rFonts w:ascii="Calibri" w:hAnsi="Calibri" w:cs="Tahoma"/>
          <w:sz w:val="22"/>
          <w:szCs w:val="22"/>
        </w:rPr>
        <w:t xml:space="preserve">wawczej, w powiecie nowosolskim </w:t>
      </w:r>
      <w:r w:rsidR="00E76537" w:rsidRPr="00662F03">
        <w:rPr>
          <w:rFonts w:ascii="Calibri" w:hAnsi="Calibri" w:cs="Tahoma"/>
          <w:sz w:val="22"/>
          <w:szCs w:val="22"/>
        </w:rPr>
        <w:t>są dwie takie placówki</w:t>
      </w:r>
      <w:r w:rsidR="005168DE" w:rsidRPr="00662F03">
        <w:rPr>
          <w:rFonts w:ascii="Calibri" w:hAnsi="Calibri" w:cs="Tahoma"/>
          <w:sz w:val="22"/>
          <w:szCs w:val="22"/>
        </w:rPr>
        <w:t xml:space="preserve"> –Dom Dziecka</w:t>
      </w:r>
      <w:r w:rsidR="00E76537" w:rsidRPr="00662F03">
        <w:rPr>
          <w:rFonts w:ascii="Calibri" w:hAnsi="Calibri" w:cs="Tahoma"/>
          <w:sz w:val="22"/>
          <w:szCs w:val="22"/>
        </w:rPr>
        <w:t xml:space="preserve"> w Kożuchowie</w:t>
      </w:r>
      <w:r w:rsidR="005168DE" w:rsidRPr="00662F03">
        <w:rPr>
          <w:rFonts w:ascii="Calibri" w:hAnsi="Calibri" w:cs="Tahoma"/>
          <w:sz w:val="22"/>
          <w:szCs w:val="22"/>
        </w:rPr>
        <w:t xml:space="preserve">, z liczbą miejsc </w:t>
      </w:r>
      <w:r w:rsidR="00E76537" w:rsidRPr="00662F03">
        <w:rPr>
          <w:rFonts w:ascii="Calibri" w:hAnsi="Calibri" w:cs="Tahoma"/>
          <w:sz w:val="22"/>
          <w:szCs w:val="22"/>
        </w:rPr>
        <w:t>–</w:t>
      </w:r>
      <w:r w:rsidR="005168DE" w:rsidRPr="00662F03">
        <w:rPr>
          <w:rFonts w:ascii="Calibri" w:hAnsi="Calibri" w:cs="Tahoma"/>
          <w:sz w:val="22"/>
          <w:szCs w:val="22"/>
        </w:rPr>
        <w:t xml:space="preserve"> 45</w:t>
      </w:r>
      <w:r w:rsidR="00E76537" w:rsidRPr="00662F03">
        <w:rPr>
          <w:rFonts w:ascii="Calibri" w:hAnsi="Calibri" w:cs="Tahoma"/>
          <w:sz w:val="22"/>
          <w:szCs w:val="22"/>
        </w:rPr>
        <w:t xml:space="preserve"> oraz Rodzinny Dom Dziecka w Modrzycy z liczbą miejsc 7</w:t>
      </w:r>
      <w:r w:rsidR="005168DE" w:rsidRPr="00662F03">
        <w:rPr>
          <w:rFonts w:ascii="Calibri" w:hAnsi="Calibri" w:cs="Tahoma"/>
          <w:sz w:val="22"/>
          <w:szCs w:val="22"/>
        </w:rPr>
        <w:t>. W Kożuchowie działa także jedyny w powiecie Dom Pomocy Społecznej, dysponujący 109 miejscami. Na terenie miasta Nowej Soli funkcjonuje 11 świetlic, w których realizowane są elementy socjoterapii.</w:t>
      </w:r>
    </w:p>
    <w:p w:rsidR="003A5761" w:rsidRPr="00662F03" w:rsidRDefault="003A576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Miejski Ośrodek Pomocy Społecznej w Nowej Soli od 2004 r. realizuje program rządowy „Pomoc państwa w zakresie dożywiania”. W ostatnich 4 latach zaobserwowano spadek liczby dzieci korzystających z dofinansowanych posiłków</w:t>
      </w:r>
      <w:r w:rsidR="00E14226" w:rsidRPr="00662F03">
        <w:rPr>
          <w:rFonts w:ascii="Calibri" w:hAnsi="Calibri" w:cs="Tahoma"/>
          <w:sz w:val="22"/>
          <w:szCs w:val="22"/>
        </w:rPr>
        <w:t xml:space="preserve"> oraz dofinansowania wypoczynku letniego</w:t>
      </w:r>
      <w:r w:rsidRPr="00662F03">
        <w:rPr>
          <w:rFonts w:ascii="Calibri" w:hAnsi="Calibri" w:cs="Tahoma"/>
          <w:sz w:val="22"/>
          <w:szCs w:val="22"/>
        </w:rPr>
        <w:t>.</w:t>
      </w:r>
      <w:r w:rsidR="002F49C2" w:rsidRPr="00662F03">
        <w:rPr>
          <w:rFonts w:ascii="Calibri" w:hAnsi="Calibri" w:cs="Tahoma"/>
          <w:sz w:val="22"/>
          <w:szCs w:val="22"/>
        </w:rPr>
        <w:t xml:space="preserve"> </w:t>
      </w:r>
      <w:r w:rsidRPr="00662F03">
        <w:rPr>
          <w:rFonts w:ascii="Calibri" w:hAnsi="Calibri" w:cs="Tahoma"/>
          <w:sz w:val="22"/>
          <w:szCs w:val="22"/>
        </w:rPr>
        <w:t xml:space="preserve">W związku z procesem starzenia się społeczeństwa </w:t>
      </w:r>
      <w:r w:rsidR="00E14226" w:rsidRPr="00662F03">
        <w:rPr>
          <w:rFonts w:ascii="Calibri" w:hAnsi="Calibri" w:cs="Tahoma"/>
          <w:sz w:val="22"/>
          <w:szCs w:val="22"/>
        </w:rPr>
        <w:t xml:space="preserve">z roku na rok wzrasta liczba osób wymagających pomocy w formie umieszczenia w Domu Pomocy Społecznej, wzrasta </w:t>
      </w:r>
      <w:r w:rsidR="002F49C2" w:rsidRPr="00662F03">
        <w:rPr>
          <w:rFonts w:ascii="Calibri" w:hAnsi="Calibri" w:cs="Tahoma"/>
          <w:sz w:val="22"/>
          <w:szCs w:val="22"/>
        </w:rPr>
        <w:t xml:space="preserve">także </w:t>
      </w:r>
      <w:r w:rsidRPr="00662F03">
        <w:rPr>
          <w:rFonts w:ascii="Calibri" w:hAnsi="Calibri" w:cs="Tahoma"/>
          <w:sz w:val="22"/>
          <w:szCs w:val="22"/>
        </w:rPr>
        <w:t>zapotrzebowanie na usługi opiekuńcze</w:t>
      </w:r>
      <w:r w:rsidR="00E14226" w:rsidRPr="00662F03">
        <w:rPr>
          <w:rFonts w:ascii="Calibri" w:hAnsi="Calibri" w:cs="Tahoma"/>
          <w:sz w:val="20"/>
          <w:vertAlign w:val="superscript"/>
        </w:rPr>
        <w:footnoteReference w:id="23"/>
      </w:r>
      <w:r w:rsidR="00E14226" w:rsidRPr="00662F03">
        <w:rPr>
          <w:rFonts w:ascii="Calibri" w:hAnsi="Calibri" w:cs="Tahoma"/>
          <w:sz w:val="22"/>
          <w:szCs w:val="22"/>
        </w:rPr>
        <w:t>.</w:t>
      </w:r>
    </w:p>
    <w:p w:rsidR="00E76537" w:rsidRPr="00662F03" w:rsidRDefault="00896798"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Na terenie powiatu nowosolskiego działa jeden Warsztat Terapii Zajęciowej prowadzony przez Stowarzyszenie Dzieci i Młodzieży Niepełnosprawnej „Pomóż nie będę sam” w Nowej Soli. Uczestnikami warsztatów jest 50 dorosłych osób niepełnosprawnych z terenu powiatu </w:t>
      </w:r>
      <w:r w:rsidRPr="00662F03">
        <w:rPr>
          <w:rFonts w:ascii="Calibri" w:hAnsi="Calibri" w:cs="Tahoma"/>
          <w:sz w:val="22"/>
          <w:szCs w:val="22"/>
        </w:rPr>
        <w:lastRenderedPageBreak/>
        <w:t xml:space="preserve">nowosolskiego, legitymujących się orzeczeniem o umiarkowanym lub znacznym stopniu niepełnosprawności, wraz ze wskazaniem do uczestnictwa w terapii zajęciowej. </w:t>
      </w:r>
      <w:r w:rsidR="00E76537" w:rsidRPr="00662F03">
        <w:rPr>
          <w:rFonts w:ascii="Calibri" w:hAnsi="Calibri" w:cs="Tahoma"/>
          <w:sz w:val="22"/>
          <w:szCs w:val="22"/>
        </w:rPr>
        <w:t xml:space="preserve">Zjawisko </w:t>
      </w:r>
      <w:r w:rsidRPr="00662F03">
        <w:rPr>
          <w:rFonts w:ascii="Calibri" w:hAnsi="Calibri" w:cs="Tahoma"/>
          <w:sz w:val="22"/>
          <w:szCs w:val="22"/>
        </w:rPr>
        <w:t>niepełnosprawności</w:t>
      </w:r>
      <w:r w:rsidR="00E76537" w:rsidRPr="00662F03">
        <w:rPr>
          <w:rFonts w:ascii="Calibri" w:hAnsi="Calibri" w:cs="Tahoma"/>
          <w:sz w:val="22"/>
          <w:szCs w:val="22"/>
        </w:rPr>
        <w:t xml:space="preserve"> w powiecie nowosolskim wykazuje</w:t>
      </w:r>
      <w:r w:rsidRPr="00662F03">
        <w:rPr>
          <w:rFonts w:ascii="Calibri" w:hAnsi="Calibri" w:cs="Tahoma"/>
          <w:sz w:val="22"/>
          <w:szCs w:val="22"/>
        </w:rPr>
        <w:t xml:space="preserve"> tendencję wzrostową</w:t>
      </w:r>
      <w:r w:rsidR="00E76537" w:rsidRPr="00662F03">
        <w:rPr>
          <w:rFonts w:ascii="Calibri" w:hAnsi="Calibri" w:cs="Tahoma"/>
          <w:sz w:val="22"/>
          <w:szCs w:val="22"/>
        </w:rPr>
        <w:t>, wi</w:t>
      </w:r>
      <w:r w:rsidRPr="00662F03">
        <w:rPr>
          <w:rFonts w:ascii="Calibri" w:hAnsi="Calibri" w:cs="Tahoma"/>
          <w:sz w:val="22"/>
          <w:szCs w:val="22"/>
        </w:rPr>
        <w:t>ększość</w:t>
      </w:r>
      <w:r w:rsidR="00E76537" w:rsidRPr="00662F03">
        <w:rPr>
          <w:rFonts w:ascii="Calibri" w:hAnsi="Calibri" w:cs="Tahoma"/>
          <w:sz w:val="22"/>
          <w:szCs w:val="22"/>
        </w:rPr>
        <w:t xml:space="preserve"> niepełnosprawnych stanowi</w:t>
      </w:r>
      <w:r w:rsidRPr="00662F03">
        <w:rPr>
          <w:rFonts w:ascii="Calibri" w:hAnsi="Calibri" w:cs="Tahoma"/>
          <w:sz w:val="22"/>
          <w:szCs w:val="22"/>
        </w:rPr>
        <w:t>ą</w:t>
      </w:r>
      <w:r w:rsidR="00E76537" w:rsidRPr="00662F03">
        <w:rPr>
          <w:rFonts w:ascii="Calibri" w:hAnsi="Calibri" w:cs="Tahoma"/>
          <w:sz w:val="22"/>
          <w:szCs w:val="22"/>
        </w:rPr>
        <w:t xml:space="preserve"> osoby w wieku</w:t>
      </w:r>
      <w:r w:rsidRPr="00662F03">
        <w:rPr>
          <w:rFonts w:ascii="Calibri" w:hAnsi="Calibri" w:cs="Tahoma"/>
          <w:sz w:val="22"/>
          <w:szCs w:val="22"/>
        </w:rPr>
        <w:t xml:space="preserve"> </w:t>
      </w:r>
      <w:r w:rsidR="00E76537" w:rsidRPr="00662F03">
        <w:rPr>
          <w:rFonts w:ascii="Calibri" w:hAnsi="Calibri" w:cs="Tahoma"/>
          <w:sz w:val="22"/>
          <w:szCs w:val="22"/>
        </w:rPr>
        <w:t>16 lat i wi</w:t>
      </w:r>
      <w:r w:rsidRPr="00662F03">
        <w:rPr>
          <w:rFonts w:ascii="Calibri" w:hAnsi="Calibri" w:cs="Tahoma"/>
          <w:sz w:val="22"/>
          <w:szCs w:val="22"/>
        </w:rPr>
        <w:t>ę</w:t>
      </w:r>
      <w:r w:rsidR="00E76537" w:rsidRPr="00662F03">
        <w:rPr>
          <w:rFonts w:ascii="Calibri" w:hAnsi="Calibri" w:cs="Tahoma"/>
          <w:sz w:val="22"/>
          <w:szCs w:val="22"/>
        </w:rPr>
        <w:t>cej, mo</w:t>
      </w:r>
      <w:r w:rsidRPr="00662F03">
        <w:rPr>
          <w:rFonts w:ascii="Calibri" w:hAnsi="Calibri" w:cs="Tahoma"/>
          <w:sz w:val="22"/>
          <w:szCs w:val="22"/>
        </w:rPr>
        <w:t>ż</w:t>
      </w:r>
      <w:r w:rsidR="00E76537" w:rsidRPr="00662F03">
        <w:rPr>
          <w:rFonts w:ascii="Calibri" w:hAnsi="Calibri" w:cs="Tahoma"/>
          <w:sz w:val="22"/>
          <w:szCs w:val="22"/>
        </w:rPr>
        <w:t>na zatem konkludowa</w:t>
      </w:r>
      <w:r w:rsidRPr="00662F03">
        <w:rPr>
          <w:rFonts w:ascii="Calibri" w:hAnsi="Calibri" w:cs="Tahoma"/>
          <w:sz w:val="22"/>
          <w:szCs w:val="22"/>
        </w:rPr>
        <w:t>ć</w:t>
      </w:r>
      <w:r w:rsidR="00E76537" w:rsidRPr="00662F03">
        <w:rPr>
          <w:rFonts w:ascii="Calibri" w:hAnsi="Calibri" w:cs="Tahoma"/>
          <w:sz w:val="22"/>
          <w:szCs w:val="22"/>
        </w:rPr>
        <w:t xml:space="preserve">, </w:t>
      </w:r>
      <w:r w:rsidRPr="00662F03">
        <w:rPr>
          <w:rFonts w:ascii="Calibri" w:hAnsi="Calibri" w:cs="Tahoma"/>
          <w:sz w:val="22"/>
          <w:szCs w:val="22"/>
        </w:rPr>
        <w:t>ż</w:t>
      </w:r>
      <w:r w:rsidR="00E76537" w:rsidRPr="00662F03">
        <w:rPr>
          <w:rFonts w:ascii="Calibri" w:hAnsi="Calibri" w:cs="Tahoma"/>
          <w:sz w:val="22"/>
          <w:szCs w:val="22"/>
        </w:rPr>
        <w:t>e niepełnosprawno</w:t>
      </w:r>
      <w:r w:rsidRPr="00662F03">
        <w:rPr>
          <w:rFonts w:ascii="Calibri" w:hAnsi="Calibri" w:cs="Tahoma"/>
          <w:sz w:val="22"/>
          <w:szCs w:val="22"/>
        </w:rPr>
        <w:t>ść</w:t>
      </w:r>
      <w:r w:rsidR="00E76537" w:rsidRPr="00662F03">
        <w:rPr>
          <w:rFonts w:ascii="Calibri" w:hAnsi="Calibri" w:cs="Tahoma"/>
          <w:sz w:val="22"/>
          <w:szCs w:val="22"/>
        </w:rPr>
        <w:t xml:space="preserve"> wzrasta</w:t>
      </w:r>
      <w:r w:rsidRPr="00662F03">
        <w:rPr>
          <w:rFonts w:ascii="Calibri" w:hAnsi="Calibri" w:cs="Tahoma"/>
          <w:sz w:val="22"/>
          <w:szCs w:val="22"/>
        </w:rPr>
        <w:t xml:space="preserve"> </w:t>
      </w:r>
      <w:r w:rsidR="00E76537" w:rsidRPr="00662F03">
        <w:rPr>
          <w:rFonts w:ascii="Calibri" w:hAnsi="Calibri" w:cs="Tahoma"/>
          <w:sz w:val="22"/>
          <w:szCs w:val="22"/>
        </w:rPr>
        <w:t>wraz z wiekiem. W zwi</w:t>
      </w:r>
      <w:r w:rsidRPr="00662F03">
        <w:rPr>
          <w:rFonts w:ascii="Calibri" w:hAnsi="Calibri" w:cs="Tahoma"/>
          <w:sz w:val="22"/>
          <w:szCs w:val="22"/>
        </w:rPr>
        <w:t>ą</w:t>
      </w:r>
      <w:r w:rsidR="00E76537" w:rsidRPr="00662F03">
        <w:rPr>
          <w:rFonts w:ascii="Calibri" w:hAnsi="Calibri" w:cs="Tahoma"/>
          <w:sz w:val="22"/>
          <w:szCs w:val="22"/>
        </w:rPr>
        <w:t>zku z tym w 2004 roku opracowano „Program działa</w:t>
      </w:r>
      <w:r w:rsidRPr="00662F03">
        <w:rPr>
          <w:rFonts w:ascii="Calibri" w:hAnsi="Calibri" w:cs="Tahoma"/>
          <w:sz w:val="22"/>
          <w:szCs w:val="22"/>
        </w:rPr>
        <w:t xml:space="preserve">ń </w:t>
      </w:r>
      <w:r w:rsidR="00E76537" w:rsidRPr="00662F03">
        <w:rPr>
          <w:rFonts w:ascii="Calibri" w:hAnsi="Calibri" w:cs="Tahoma"/>
          <w:sz w:val="22"/>
          <w:szCs w:val="22"/>
        </w:rPr>
        <w:t>na rzecz osób niepełnosprawnych w powi</w:t>
      </w:r>
      <w:r w:rsidRPr="00662F03">
        <w:rPr>
          <w:rFonts w:ascii="Calibri" w:hAnsi="Calibri" w:cs="Tahoma"/>
          <w:sz w:val="22"/>
          <w:szCs w:val="22"/>
        </w:rPr>
        <w:t>ecie nowosolskim w latach 2004-</w:t>
      </w:r>
      <w:r w:rsidR="00E76537" w:rsidRPr="00662F03">
        <w:rPr>
          <w:rFonts w:ascii="Calibri" w:hAnsi="Calibri" w:cs="Tahoma"/>
          <w:sz w:val="22"/>
          <w:szCs w:val="22"/>
        </w:rPr>
        <w:t>2014”. Realizacja Programu pozwoli na wspieranie osób niepełnosprawnych</w:t>
      </w:r>
      <w:r w:rsidRPr="00662F03">
        <w:rPr>
          <w:rFonts w:ascii="Calibri" w:hAnsi="Calibri" w:cs="Tahoma"/>
          <w:sz w:val="22"/>
          <w:szCs w:val="22"/>
        </w:rPr>
        <w:t xml:space="preserve"> </w:t>
      </w:r>
      <w:r w:rsidR="00E76537" w:rsidRPr="00662F03">
        <w:rPr>
          <w:rFonts w:ascii="Calibri" w:hAnsi="Calibri" w:cs="Tahoma"/>
          <w:sz w:val="22"/>
          <w:szCs w:val="22"/>
        </w:rPr>
        <w:t>w powiecie nowosolskim poprzez popraw</w:t>
      </w:r>
      <w:r w:rsidRPr="00662F03">
        <w:rPr>
          <w:rFonts w:ascii="Calibri" w:hAnsi="Calibri" w:cs="Tahoma"/>
          <w:sz w:val="22"/>
          <w:szCs w:val="22"/>
        </w:rPr>
        <w:t>ę</w:t>
      </w:r>
      <w:r w:rsidR="001F24B2" w:rsidRPr="00662F03">
        <w:rPr>
          <w:rFonts w:ascii="Calibri" w:hAnsi="Calibri" w:cs="Tahoma"/>
          <w:sz w:val="22"/>
          <w:szCs w:val="22"/>
        </w:rPr>
        <w:t xml:space="preserve"> warunków</w:t>
      </w:r>
      <w:r w:rsidR="00F71B61" w:rsidRPr="00662F03">
        <w:rPr>
          <w:rFonts w:ascii="Calibri" w:hAnsi="Calibri" w:cs="Tahoma"/>
          <w:sz w:val="22"/>
          <w:szCs w:val="22"/>
        </w:rPr>
        <w:t xml:space="preserve"> </w:t>
      </w:r>
      <w:r w:rsidRPr="00662F03">
        <w:rPr>
          <w:rFonts w:ascii="Calibri" w:hAnsi="Calibri" w:cs="Tahoma"/>
          <w:sz w:val="22"/>
          <w:szCs w:val="22"/>
        </w:rPr>
        <w:t>ż</w:t>
      </w:r>
      <w:r w:rsidR="00E76537" w:rsidRPr="00662F03">
        <w:rPr>
          <w:rFonts w:ascii="Calibri" w:hAnsi="Calibri" w:cs="Tahoma"/>
          <w:sz w:val="22"/>
          <w:szCs w:val="22"/>
        </w:rPr>
        <w:t>ycia społecznego</w:t>
      </w:r>
      <w:r w:rsidRPr="00662F03">
        <w:rPr>
          <w:rFonts w:ascii="Calibri" w:hAnsi="Calibri" w:cs="Tahoma"/>
          <w:sz w:val="22"/>
          <w:szCs w:val="22"/>
        </w:rPr>
        <w:t xml:space="preserve"> </w:t>
      </w:r>
      <w:r w:rsidR="00E76537" w:rsidRPr="00662F03">
        <w:rPr>
          <w:rFonts w:ascii="Calibri" w:hAnsi="Calibri" w:cs="Tahoma"/>
          <w:sz w:val="22"/>
          <w:szCs w:val="22"/>
        </w:rPr>
        <w:t>i zawodowego.</w:t>
      </w:r>
      <w:r w:rsidRPr="00662F03">
        <w:rPr>
          <w:rFonts w:ascii="Calibri" w:hAnsi="Calibri" w:cs="Tahoma"/>
          <w:sz w:val="22"/>
          <w:szCs w:val="22"/>
        </w:rPr>
        <w:t xml:space="preserve"> </w:t>
      </w:r>
      <w:r w:rsidR="00E76537" w:rsidRPr="00662F03">
        <w:rPr>
          <w:rFonts w:ascii="Calibri" w:hAnsi="Calibri" w:cs="Tahoma"/>
          <w:sz w:val="22"/>
          <w:szCs w:val="22"/>
        </w:rPr>
        <w:t>Wspi</w:t>
      </w:r>
      <w:r w:rsidR="001F24B2" w:rsidRPr="00662F03">
        <w:rPr>
          <w:rFonts w:ascii="Calibri" w:hAnsi="Calibri" w:cs="Tahoma"/>
          <w:sz w:val="22"/>
          <w:szCs w:val="22"/>
        </w:rPr>
        <w:t>eraniem osób niepełnosprawnych</w:t>
      </w:r>
      <w:r w:rsidR="00E76537" w:rsidRPr="00662F03">
        <w:rPr>
          <w:rFonts w:ascii="Calibri" w:hAnsi="Calibri" w:cs="Tahoma"/>
          <w:sz w:val="22"/>
          <w:szCs w:val="22"/>
        </w:rPr>
        <w:t xml:space="preserve"> zajmuje si</w:t>
      </w:r>
      <w:r w:rsidRPr="00662F03">
        <w:rPr>
          <w:rFonts w:ascii="Calibri" w:hAnsi="Calibri" w:cs="Tahoma"/>
          <w:sz w:val="22"/>
          <w:szCs w:val="22"/>
        </w:rPr>
        <w:t xml:space="preserve">ę </w:t>
      </w:r>
      <w:r w:rsidR="00E76537" w:rsidRPr="00662F03">
        <w:rPr>
          <w:rFonts w:ascii="Calibri" w:hAnsi="Calibri" w:cs="Tahoma"/>
          <w:sz w:val="22"/>
          <w:szCs w:val="22"/>
        </w:rPr>
        <w:t>równie</w:t>
      </w:r>
      <w:r w:rsidRPr="00662F03">
        <w:rPr>
          <w:rFonts w:ascii="Calibri" w:hAnsi="Calibri" w:cs="Tahoma"/>
          <w:sz w:val="22"/>
          <w:szCs w:val="22"/>
        </w:rPr>
        <w:t>ż ś</w:t>
      </w:r>
      <w:r w:rsidR="00E76537" w:rsidRPr="00662F03">
        <w:rPr>
          <w:rFonts w:ascii="Calibri" w:hAnsi="Calibri" w:cs="Tahoma"/>
          <w:sz w:val="22"/>
          <w:szCs w:val="22"/>
        </w:rPr>
        <w:t>rodowiskowy Dom Samopomocy Społecznej w Nowej Soli.</w:t>
      </w:r>
      <w:r w:rsidRPr="00662F03">
        <w:rPr>
          <w:rFonts w:ascii="Calibri" w:hAnsi="Calibri" w:cs="Tahoma"/>
          <w:sz w:val="22"/>
          <w:szCs w:val="22"/>
        </w:rPr>
        <w:t xml:space="preserve"> </w:t>
      </w:r>
      <w:r w:rsidR="00E76537" w:rsidRPr="00662F03">
        <w:rPr>
          <w:rFonts w:ascii="Calibri" w:hAnsi="Calibri" w:cs="Tahoma"/>
          <w:sz w:val="22"/>
          <w:szCs w:val="22"/>
        </w:rPr>
        <w:t xml:space="preserve">Jednostka przeznaczona jest dla osób z </w:t>
      </w:r>
      <w:r w:rsidRPr="00662F03">
        <w:rPr>
          <w:rFonts w:ascii="Calibri" w:hAnsi="Calibri" w:cs="Tahoma"/>
          <w:sz w:val="22"/>
          <w:szCs w:val="22"/>
        </w:rPr>
        <w:t>upośledzeniem</w:t>
      </w:r>
      <w:r w:rsidR="00E76537" w:rsidRPr="00662F03">
        <w:rPr>
          <w:rFonts w:ascii="Calibri" w:hAnsi="Calibri" w:cs="Tahoma"/>
          <w:sz w:val="22"/>
          <w:szCs w:val="22"/>
        </w:rPr>
        <w:t xml:space="preserve"> umysłowym</w:t>
      </w:r>
      <w:r w:rsidRPr="00662F03">
        <w:rPr>
          <w:rFonts w:ascii="Calibri" w:hAnsi="Calibri" w:cs="Tahoma"/>
          <w:sz w:val="22"/>
          <w:szCs w:val="22"/>
        </w:rPr>
        <w:t xml:space="preserve"> </w:t>
      </w:r>
      <w:r w:rsidR="00E76537" w:rsidRPr="00662F03">
        <w:rPr>
          <w:rFonts w:ascii="Calibri" w:hAnsi="Calibri" w:cs="Tahoma"/>
          <w:sz w:val="22"/>
          <w:szCs w:val="22"/>
        </w:rPr>
        <w:t>oraz z zaburzeniami psychicznymi.</w:t>
      </w:r>
    </w:p>
    <w:p w:rsidR="004717D3" w:rsidRPr="00662F03" w:rsidRDefault="004717D3" w:rsidP="004E5A9A">
      <w:pPr>
        <w:shd w:val="clear" w:color="auto" w:fill="FFFFFF"/>
        <w:spacing w:before="150" w:after="75"/>
        <w:jc w:val="both"/>
        <w:outlineLvl w:val="3"/>
        <w:rPr>
          <w:rFonts w:ascii="Calibri" w:hAnsi="Calibri" w:cs="Tahoma"/>
          <w:sz w:val="22"/>
          <w:szCs w:val="22"/>
        </w:rPr>
      </w:pPr>
    </w:p>
    <w:p w:rsidR="004717D3" w:rsidRPr="00662F03" w:rsidRDefault="005433B6" w:rsidP="004E5A9A">
      <w:pPr>
        <w:shd w:val="clear" w:color="auto" w:fill="FFFFFF"/>
        <w:spacing w:before="150" w:after="75"/>
        <w:jc w:val="both"/>
        <w:outlineLvl w:val="3"/>
        <w:rPr>
          <w:rFonts w:ascii="Calibri" w:hAnsi="Calibri" w:cs="Tahoma"/>
          <w:sz w:val="22"/>
          <w:szCs w:val="22"/>
        </w:rPr>
      </w:pPr>
      <w:r w:rsidRPr="005433B6">
        <w:rPr>
          <w:rFonts w:ascii="Calibri" w:hAnsi="Calibri"/>
        </w:rPr>
      </w:r>
      <w:r w:rsidR="00072369" w:rsidRPr="005433B6">
        <w:rPr>
          <w:rFonts w:ascii="Calibri" w:hAnsi="Calibri"/>
        </w:rPr>
        <w:pict>
          <v:roundrect id="_x0000_s1036"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36;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295383">
        <w:rPr>
          <w:rFonts w:ascii="Calibri" w:hAnsi="Calibri" w:cs="Tahoma"/>
          <w:shadow/>
          <w:color w:val="808080"/>
          <w:sz w:val="22"/>
        </w:rPr>
        <w:t xml:space="preserve">Mieszkańcy twierdzą, że w mieście łatwo mogą skorzystać z porady lekarskiej. 71% w ocenie ważonej twierdzi, że ma dobry dostęp do tej usługi. Kobiety częściej niż mężczyźni są odmiennego zdania. </w:t>
      </w:r>
      <w:r w:rsidRPr="008522CD">
        <w:rPr>
          <w:rFonts w:ascii="Calibri" w:hAnsi="Calibri" w:cs="Tahoma"/>
          <w:shadow/>
          <w:color w:val="808080"/>
          <w:sz w:val="22"/>
        </w:rPr>
        <w:t>Wśród pozostałych grup respondentów raczej obserwuje się zgodność. Nieco częściej zadowoleni z dostępu do porady lekarskiej są osoby z wykształceniem zasadniczym zawodowym i poniżej oraz osoby w wieku 30-39. Nie są to jednak różnice w opinii duże. Dostęp do porady lekarskiej jest dla mieszkańców bardzo ważnym kryterium oceny atrakcyjności miasta jako miejsca zamieszkania. Najważniejszym spośród badanych. Wszystkie grupy respondentów jednakowo wysoko oceniają to kryterium, choć można zauważyć, że ocena tego kryterium wzrasta wraz z wiekiem.</w:t>
      </w:r>
    </w:p>
    <w:p w:rsidR="00A5153A" w:rsidRPr="008522CD" w:rsidRDefault="00A5153A" w:rsidP="00A5153A">
      <w:pPr>
        <w:shd w:val="clear" w:color="auto" w:fill="FFFFFF"/>
        <w:spacing w:before="150" w:after="75"/>
        <w:jc w:val="both"/>
        <w:outlineLvl w:val="3"/>
        <w:rPr>
          <w:rFonts w:ascii="Calibri" w:hAnsi="Calibri" w:cs="Tahoma"/>
          <w:shadow/>
          <w:color w:val="808080"/>
          <w:sz w:val="22"/>
        </w:rPr>
      </w:pPr>
      <w:r w:rsidRPr="008522CD">
        <w:rPr>
          <w:rFonts w:ascii="Calibri" w:hAnsi="Calibri" w:cs="Tahoma"/>
          <w:b/>
          <w:shadow/>
          <w:color w:val="808080"/>
          <w:sz w:val="22"/>
        </w:rPr>
        <w:t>Wnioski:</w:t>
      </w:r>
      <w:r w:rsidRPr="008522CD">
        <w:rPr>
          <w:rFonts w:ascii="Calibri" w:hAnsi="Calibri" w:cs="Tahoma"/>
          <w:shadow/>
          <w:color w:val="808080"/>
          <w:sz w:val="22"/>
        </w:rPr>
        <w:t xml:space="preserve"> Dostęp do porady lekarskiej jest oceniany jako mocna strona miasta. Jednocześnie jest to bardzo ważne kryterium jakości życia. Działania zaplanowane w ramach strategii powinny być nakierowane na utrzymanie stanu oraz jego poprawę ze względu na wysoką ocenę dostępu do porady lekarskiej wśród kryteriów jakości życia. Działania powinny szczególnie uwzględniać dobro kobiet oraz osób starszych.</w:t>
      </w:r>
    </w:p>
    <w:p w:rsidR="00211558" w:rsidRPr="006A1A22" w:rsidRDefault="00AA21BF" w:rsidP="00AA21BF">
      <w:pPr>
        <w:pStyle w:val="Legenda"/>
        <w:rPr>
          <w:rFonts w:ascii="Calibri" w:hAnsi="Calibri" w:cs="Tahoma"/>
          <w:b w:val="0"/>
          <w:shadow/>
          <w:color w:val="808080"/>
          <w:szCs w:val="22"/>
        </w:rPr>
      </w:pPr>
      <w:bookmarkStart w:id="81" w:name="_Toc315790526"/>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57</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mieście łatwo można skorzystać z porady lekarskiej.</w:t>
      </w:r>
      <w:bookmarkEnd w:id="81"/>
    </w:p>
    <w:p w:rsidR="00A5153A" w:rsidRPr="00662F03" w:rsidRDefault="005B1628" w:rsidP="008522CD">
      <w:pPr>
        <w:jc w:val="center"/>
        <w:rPr>
          <w:rFonts w:ascii="Calibri" w:hAnsi="Calibri"/>
        </w:rPr>
      </w:pPr>
      <w:r>
        <w:rPr>
          <w:rFonts w:ascii="Calibri" w:hAnsi="Calibri"/>
          <w:noProof/>
        </w:rPr>
        <w:drawing>
          <wp:inline distT="0" distB="0" distL="0" distR="0">
            <wp:extent cx="4649783" cy="2640179"/>
            <wp:effectExtent l="19050" t="0" r="17467" b="7771"/>
            <wp:docPr id="77" name="Wykres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6A1A22" w:rsidRDefault="006A1A22">
      <w:pPr>
        <w:rPr>
          <w:rFonts w:ascii="Calibri" w:hAnsi="Calibri"/>
          <w:sz w:val="22"/>
        </w:rPr>
      </w:pPr>
      <w:r>
        <w:rPr>
          <w:rFonts w:ascii="Calibri" w:hAnsi="Calibri"/>
          <w:b/>
          <w:bCs/>
          <w:sz w:val="22"/>
        </w:rPr>
        <w:br w:type="page"/>
      </w:r>
    </w:p>
    <w:p w:rsidR="00AA21BF" w:rsidRPr="006A1A22" w:rsidRDefault="00AA21BF" w:rsidP="00AA21BF">
      <w:pPr>
        <w:pStyle w:val="Legenda"/>
        <w:rPr>
          <w:rFonts w:ascii="Calibri" w:hAnsi="Calibri"/>
          <w:b w:val="0"/>
          <w:sz w:val="18"/>
        </w:rPr>
      </w:pPr>
      <w:bookmarkStart w:id="82" w:name="_Toc315790527"/>
      <w:r w:rsidRPr="006A1A22">
        <w:rPr>
          <w:rFonts w:ascii="Calibri" w:hAnsi="Calibri"/>
          <w:b w:val="0"/>
          <w:sz w:val="18"/>
        </w:rPr>
        <w:lastRenderedPageBreak/>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58</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dostęp do porady lekarskiej w mieście ma znaczenie w atrakcyjności miasta jako miejsca zamieszkania.</w:t>
      </w:r>
      <w:bookmarkEnd w:id="82"/>
    </w:p>
    <w:p w:rsidR="00A5153A" w:rsidRPr="00662F03" w:rsidRDefault="005B1628" w:rsidP="008522CD">
      <w:pPr>
        <w:jc w:val="center"/>
        <w:rPr>
          <w:rFonts w:ascii="Calibri" w:hAnsi="Calibri"/>
        </w:rPr>
      </w:pPr>
      <w:r>
        <w:rPr>
          <w:rFonts w:ascii="Calibri" w:hAnsi="Calibri"/>
          <w:noProof/>
        </w:rPr>
        <w:drawing>
          <wp:inline distT="0" distB="0" distL="0" distR="0">
            <wp:extent cx="4658009" cy="2906768"/>
            <wp:effectExtent l="19050" t="0" r="28291" b="7882"/>
            <wp:docPr id="78" name="Wykres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A5153A" w:rsidRPr="006A1A22" w:rsidRDefault="00AA21BF" w:rsidP="00A5153A">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4717D3" w:rsidRPr="00662F03" w:rsidRDefault="004717D3" w:rsidP="004E5A9A">
      <w:pPr>
        <w:shd w:val="clear" w:color="auto" w:fill="FFFFFF"/>
        <w:spacing w:before="150" w:after="75"/>
        <w:jc w:val="both"/>
        <w:outlineLvl w:val="3"/>
        <w:rPr>
          <w:rFonts w:ascii="Calibri" w:hAnsi="Calibri" w:cs="Tahoma"/>
          <w:sz w:val="22"/>
          <w:szCs w:val="22"/>
        </w:rPr>
      </w:pPr>
    </w:p>
    <w:p w:rsidR="006751C8" w:rsidRPr="00662F03" w:rsidRDefault="005433B6" w:rsidP="004E5A9A">
      <w:pPr>
        <w:shd w:val="clear" w:color="auto" w:fill="FFFFFF"/>
        <w:spacing w:before="150" w:after="75"/>
        <w:jc w:val="both"/>
        <w:outlineLvl w:val="3"/>
        <w:rPr>
          <w:rFonts w:ascii="Calibri" w:hAnsi="Calibri" w:cs="Tahoma"/>
          <w:color w:val="333333"/>
          <w:sz w:val="22"/>
          <w:szCs w:val="22"/>
        </w:rPr>
      </w:pPr>
      <w:r w:rsidRPr="005433B6">
        <w:rPr>
          <w:rFonts w:ascii="Calibri" w:hAnsi="Calibri" w:cs="Tahoma"/>
          <w:sz w:val="22"/>
          <w:szCs w:val="22"/>
        </w:rPr>
      </w:r>
      <w:r w:rsidR="00D24064" w:rsidRPr="005433B6">
        <w:rPr>
          <w:rFonts w:ascii="Calibri" w:hAnsi="Calibri" w:cs="Tahoma"/>
          <w:sz w:val="22"/>
          <w:szCs w:val="22"/>
        </w:rPr>
        <w:pict>
          <v:rect id="_x0000_s1035" style="width:449.8pt;height:131.75pt;rotation:-360;mso-position-horizontal-relative:char;mso-position-vertical-relative:line" o:allowincell="f" fillcolor="#a7bfde" stroked="f">
            <v:fill opacity="13107f"/>
            <v:imagedata embosscolor="shadow add(51)"/>
            <v:shadow on="t" color="#d4cfb3" opacity=".5" offset="19pt,-21pt" offset2="26pt,-30pt"/>
            <v:textbox style="mso-next-textbox:#_x0000_s1035;mso-fit-shape-to-text:t" inset="28.8pt,7.2pt,14.4pt,28.8pt">
              <w:txbxContent>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Nowosolska służba zdrowia dysponuje rozbudowaną bazą ochrony zdrowia, z której część wymaga modernizacji.</w:t>
                  </w:r>
                  <w:r>
                    <w:rPr>
                      <w:rFonts w:ascii="Calibri" w:hAnsi="Calibri"/>
                      <w:i/>
                      <w:iCs/>
                      <w:color w:val="1F497D"/>
                      <w:sz w:val="22"/>
                      <w:szCs w:val="28"/>
                    </w:rPr>
                    <w:t xml:space="preserve"> Szeroki dostęp do usług zdrowotnych jest zdaniem mieszkańców bardzo ważnym kryterium jakości życia w mieście.</w:t>
                  </w:r>
                </w:p>
                <w:p w:rsidR="00D24064" w:rsidRPr="0090142A" w:rsidRDefault="00D24064" w:rsidP="0090142A">
                  <w:pPr>
                    <w:jc w:val="both"/>
                    <w:rPr>
                      <w:rFonts w:ascii="Calibri" w:hAnsi="Calibri"/>
                      <w:i/>
                      <w:iCs/>
                      <w:color w:val="1F497D"/>
                      <w:sz w:val="22"/>
                      <w:szCs w:val="28"/>
                    </w:rPr>
                  </w:pPr>
                  <w:r w:rsidRPr="00EC0E96">
                    <w:rPr>
                      <w:rFonts w:ascii="Calibri" w:hAnsi="Calibri"/>
                      <w:i/>
                      <w:iCs/>
                      <w:color w:val="1F497D"/>
                      <w:sz w:val="22"/>
                      <w:szCs w:val="28"/>
                    </w:rPr>
                    <w:t>W zakresie pomocy społecznej</w:t>
                  </w:r>
                  <w:r>
                    <w:rPr>
                      <w:rFonts w:ascii="Calibri" w:hAnsi="Calibri"/>
                      <w:i/>
                      <w:iCs/>
                      <w:color w:val="1F497D"/>
                      <w:sz w:val="22"/>
                      <w:szCs w:val="28"/>
                    </w:rPr>
                    <w:t xml:space="preserve"> wskazuje się następujące kierunki działań: </w:t>
                  </w:r>
                  <w:r w:rsidRPr="0090142A">
                    <w:rPr>
                      <w:rFonts w:asciiTheme="minorHAnsi" w:hAnsiTheme="minorHAnsi"/>
                      <w:i/>
                      <w:iCs/>
                      <w:color w:val="1F497D"/>
                      <w:sz w:val="22"/>
                      <w:szCs w:val="28"/>
                    </w:rPr>
                    <w:t>wsparcie na rzecz osób bezrobotnych i ubogich</w:t>
                  </w:r>
                  <w:r>
                    <w:rPr>
                      <w:rFonts w:ascii="Calibri" w:hAnsi="Calibri"/>
                      <w:i/>
                      <w:iCs/>
                      <w:color w:val="1F497D"/>
                      <w:sz w:val="22"/>
                      <w:szCs w:val="28"/>
                    </w:rPr>
                    <w:t xml:space="preserve"> oraz </w:t>
                  </w:r>
                  <w:r w:rsidRPr="0090142A">
                    <w:rPr>
                      <w:rFonts w:asciiTheme="minorHAnsi" w:hAnsiTheme="minorHAnsi"/>
                      <w:i/>
                      <w:iCs/>
                      <w:color w:val="1F497D"/>
                      <w:sz w:val="22"/>
                      <w:szCs w:val="28"/>
                    </w:rPr>
                    <w:t>kontynuacja pomocy na rzecz osób starszych i niepełnosprawnych</w:t>
                  </w:r>
                  <w:r>
                    <w:rPr>
                      <w:rFonts w:asciiTheme="minorHAnsi" w:hAnsiTheme="minorHAnsi"/>
                      <w:i/>
                      <w:iCs/>
                      <w:color w:val="1F497D"/>
                      <w:sz w:val="22"/>
                      <w:szCs w:val="28"/>
                    </w:rPr>
                    <w:t>.</w:t>
                  </w:r>
                </w:p>
              </w:txbxContent>
            </v:textbox>
            <w10:wrap type="none" anchorx="margin" anchory="page"/>
            <w10:anchorlock/>
          </v:rect>
        </w:pict>
      </w:r>
    </w:p>
    <w:p w:rsidR="006751C8" w:rsidRPr="00662F03" w:rsidRDefault="006751C8" w:rsidP="004E5A9A">
      <w:pPr>
        <w:shd w:val="clear" w:color="auto" w:fill="FFFFFF"/>
        <w:spacing w:before="150" w:after="75"/>
        <w:jc w:val="both"/>
        <w:outlineLvl w:val="3"/>
        <w:rPr>
          <w:rFonts w:ascii="Calibri" w:hAnsi="Calibri" w:cs="Tahoma"/>
          <w:color w:val="333333"/>
          <w:sz w:val="22"/>
          <w:szCs w:val="22"/>
        </w:rPr>
      </w:pPr>
    </w:p>
    <w:p w:rsidR="003451FE" w:rsidRPr="00662F03" w:rsidRDefault="0078532F" w:rsidP="007F5FC1">
      <w:pPr>
        <w:pStyle w:val="Nagwek2"/>
        <w:numPr>
          <w:ilvl w:val="1"/>
          <w:numId w:val="1"/>
        </w:numPr>
        <w:spacing w:line="240" w:lineRule="auto"/>
        <w:rPr>
          <w:rFonts w:ascii="Calibri" w:hAnsi="Calibri"/>
          <w:color w:val="17365D"/>
          <w:sz w:val="22"/>
          <w:szCs w:val="22"/>
        </w:rPr>
      </w:pPr>
      <w:bookmarkStart w:id="83" w:name="_Toc316395266"/>
      <w:r w:rsidRPr="00662F03">
        <w:rPr>
          <w:rFonts w:ascii="Calibri" w:hAnsi="Calibri"/>
          <w:color w:val="17365D"/>
          <w:sz w:val="22"/>
          <w:szCs w:val="22"/>
        </w:rPr>
        <w:t>Instytucje otoczenia biznesu</w:t>
      </w:r>
      <w:bookmarkEnd w:id="83"/>
    </w:p>
    <w:p w:rsidR="00797B4A" w:rsidRPr="00662F03" w:rsidRDefault="00797B4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Nowej Soli znacząco rozwinięty jest sektor małych i średnich przedsiębiorstw, dlatego ważny jest system wsparcia szczególnie dla tej grupy firm. Rolę tę pełnią instytucje otoczenia biznesu, które powstały zarówno z inicjatywy samorządu, jak i sektora prywatnego, o zasięgu regionalnym, lokalnym czy ponadlokalnym, a nawet, z racji położenia geograficznego, transgranicznym. Są to zarówno instytucje finansowe, jak i doradcze, informacyjne i szkoleniowe, agencje rozwoju regionalnego, izby i stowarzyszenia gospodarcze, organizacje pracodawców, inkubatory przedsiębiorczości. Większość z wymienionych instytucji ma swoje siedziby w Zielonej Górze, jednak swym zasięgiem obejmują one wszystkie miasta Trójmiasta Lubuskiego.</w:t>
      </w:r>
    </w:p>
    <w:p w:rsidR="00797B4A" w:rsidRPr="00662F03" w:rsidRDefault="00797B4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Według raportu pod redakcj</w:t>
      </w:r>
      <w:r w:rsidR="00A319AB" w:rsidRPr="00662F03">
        <w:rPr>
          <w:rFonts w:ascii="Calibri" w:hAnsi="Calibri" w:cs="Tahoma"/>
          <w:sz w:val="22"/>
          <w:szCs w:val="22"/>
        </w:rPr>
        <w:t>ą</w:t>
      </w:r>
      <w:r w:rsidRPr="00662F03">
        <w:rPr>
          <w:rFonts w:ascii="Calibri" w:hAnsi="Calibri" w:cs="Tahoma"/>
          <w:sz w:val="22"/>
          <w:szCs w:val="22"/>
        </w:rPr>
        <w:t xml:space="preserve"> K. Matusiaka „Ośrodki innowacyjności i przedsiębiorczości w Polsce. Raport 2010 r.” na terenie Nowej Soli funkcjonują następujące organizacje wspierające rozwój przedsiębiorczości należące do kategorii ośrodki szkoleniowo-doradcze:</w:t>
      </w:r>
    </w:p>
    <w:p w:rsidR="00797B4A" w:rsidRPr="00662F03" w:rsidRDefault="00797B4A" w:rsidP="00F71F0A">
      <w:pPr>
        <w:numPr>
          <w:ilvl w:val="0"/>
          <w:numId w:val="14"/>
        </w:numPr>
        <w:shd w:val="clear" w:color="auto" w:fill="FFFFFF"/>
        <w:spacing w:before="150"/>
        <w:jc w:val="both"/>
        <w:outlineLvl w:val="3"/>
        <w:rPr>
          <w:rFonts w:ascii="Calibri" w:hAnsi="Calibri" w:cs="Tahoma"/>
          <w:sz w:val="22"/>
          <w:szCs w:val="22"/>
        </w:rPr>
      </w:pPr>
      <w:r w:rsidRPr="00662F03">
        <w:rPr>
          <w:rFonts w:ascii="Calibri" w:hAnsi="Calibri" w:cs="Tahoma"/>
          <w:sz w:val="22"/>
          <w:szCs w:val="22"/>
        </w:rPr>
        <w:t>Organizacja Pracodawców Ziemi Lubuskiej (oddział w Nowej Soli)</w:t>
      </w:r>
    </w:p>
    <w:p w:rsidR="00797B4A" w:rsidRPr="00662F03" w:rsidRDefault="00797B4A" w:rsidP="004E5A9A">
      <w:pPr>
        <w:shd w:val="clear" w:color="auto" w:fill="FFFFFF"/>
        <w:jc w:val="both"/>
        <w:outlineLvl w:val="3"/>
        <w:rPr>
          <w:rFonts w:ascii="Calibri" w:hAnsi="Calibri" w:cs="Tahoma"/>
          <w:sz w:val="22"/>
          <w:szCs w:val="22"/>
        </w:rPr>
      </w:pPr>
      <w:r w:rsidRPr="00662F03">
        <w:rPr>
          <w:rFonts w:ascii="Calibri" w:hAnsi="Calibri" w:cs="Tahoma"/>
          <w:sz w:val="22"/>
          <w:szCs w:val="22"/>
        </w:rPr>
        <w:t xml:space="preserve">Organizacja Pracodawców Ziemi Lubuskiej (OPZL) jest jedną z najstarszych instytucji otoczenia biznesu w regionie, zrzeszając na początku 2009 r. ponad 200 firm z całego regionu, niezależnie od </w:t>
      </w:r>
      <w:r w:rsidRPr="00662F03">
        <w:rPr>
          <w:rFonts w:ascii="Calibri" w:hAnsi="Calibri" w:cs="Tahoma"/>
          <w:sz w:val="22"/>
          <w:szCs w:val="22"/>
        </w:rPr>
        <w:lastRenderedPageBreak/>
        <w:t>branży czy wielkości. W zakresie działalności okołobiznesowej OPZL zajmuje się reprezentowaniem interesów przedsiębiorców, prowadzeniem szkoleń, doradztwa, informacji i promocji dla pracodawców, jak również podejmuje działania na rzecz rozwoju rynku pracy i przeciwdziałania bezrobociu. OPZL jest członkiem Polskiej Konfederacji Pracodawców Prywatnych Lewiatan. Organizacja realizuje projekty kierowane do lubuskich przedsiębiorców finansowane z funduszy UE, w ostatnich latach m.in. Punkt Konsultacyjny (5 edycji), Absolwent przedsiębiorcą, Lubuskie Trójmiasto – kwalifikacje a rynek pracy, cykl szkoleń Dotacje Dla Przedsiębiorców, Doradztwo Pilotażowe z Zakresu Promocji, Prawa, Restrukturyzacji oraz inne. Kilka projektów OPZL zrealizowała w ścisłej współpracy ze środowiskiem naukowym Uniwersytetu Zielonogórskiego. Od roku 1999 r. z oferty Organizacji skorzystało ponad 5 tys. firm i osób zakładających działalność gospodarczą. Siedzibą Organizacji jest Zielona Góra, działają także dwa oddziały terenowe w Nowej Soli i w Żarach. Podejmowane działania i życie gospodarcze regionu OPZL prezentuje na łamach własnego magazynu Biznes Lubuski. Podczas corocznego Lubuskiego Forum Gospodarczego organizacja prezentuje stanowiska w sprawach ważnych dla regionu oraz integruje środowisko przedsiębiorców.</w:t>
      </w:r>
    </w:p>
    <w:p w:rsidR="00797B4A" w:rsidRPr="00662F03" w:rsidRDefault="00797B4A"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Poza ww. instytucjami, na terenie Nowej Soli funkcjonują także inne organizacje, niewymieniane w cytowanym Raporcie, odnotowywane natomiast na stronach internetowych Urzędu Miasta Nowa Sól:</w:t>
      </w:r>
    </w:p>
    <w:p w:rsidR="00797B4A" w:rsidRPr="00662F03" w:rsidRDefault="00797B4A" w:rsidP="008522CD">
      <w:pPr>
        <w:numPr>
          <w:ilvl w:val="0"/>
          <w:numId w:val="14"/>
        </w:numPr>
        <w:shd w:val="clear" w:color="auto" w:fill="FFFFFF"/>
        <w:ind w:left="714" w:hanging="357"/>
        <w:jc w:val="both"/>
        <w:outlineLvl w:val="3"/>
        <w:rPr>
          <w:rFonts w:ascii="Calibri" w:hAnsi="Calibri" w:cs="Tahoma"/>
          <w:sz w:val="22"/>
          <w:szCs w:val="22"/>
        </w:rPr>
      </w:pPr>
      <w:r w:rsidRPr="00662F03">
        <w:rPr>
          <w:rFonts w:ascii="Calibri" w:hAnsi="Calibri" w:cs="Tahoma"/>
          <w:bCs/>
          <w:sz w:val="22"/>
          <w:szCs w:val="22"/>
        </w:rPr>
        <w:t>Powiatowy Urząd Pracy</w:t>
      </w:r>
    </w:p>
    <w:p w:rsidR="00797B4A" w:rsidRPr="00662F03" w:rsidRDefault="00797B4A" w:rsidP="008522CD">
      <w:pPr>
        <w:numPr>
          <w:ilvl w:val="0"/>
          <w:numId w:val="14"/>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Lubuski Fundusz Pożyczkowy (punkt konsultacyjny działający od 2010 roku) </w:t>
      </w:r>
    </w:p>
    <w:p w:rsidR="00797B4A" w:rsidRPr="00662F03" w:rsidRDefault="00797B4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Lubuski Fundusz Pożyczkowy działa w strukturach Agencji Rozwoju Regionalnego S.A. w Zielonej Górze. Wspiera </w:t>
      </w:r>
      <w:r w:rsidR="00A319AB" w:rsidRPr="00662F03">
        <w:rPr>
          <w:rFonts w:ascii="Calibri" w:hAnsi="Calibri" w:cs="Tahoma"/>
          <w:sz w:val="22"/>
          <w:szCs w:val="22"/>
        </w:rPr>
        <w:t>sektor mikro, małych i średnich</w:t>
      </w:r>
      <w:r w:rsidRPr="00662F03">
        <w:rPr>
          <w:rFonts w:ascii="Calibri" w:hAnsi="Calibri" w:cs="Tahoma"/>
          <w:sz w:val="22"/>
          <w:szCs w:val="22"/>
        </w:rPr>
        <w:t xml:space="preserve"> przedsiębiorstw inwestujących w całym województwie lubuskim, udziela pożyczek obrotowych i inwestycyjnych, w tym przeznaczonych na inwestycje finansowane z udziałem środków unijnych.</w:t>
      </w:r>
    </w:p>
    <w:p w:rsidR="00797B4A" w:rsidRPr="00662F03" w:rsidRDefault="00797B4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Rozwój przedsiębiorczości należy do priorytetowych zadań władz miasta, dlatego podejmują one liczne działania wspierające i pomagające w prowadzeniu działalności. Z informacji zawartych na stronach internetowych miasta wynika, że planuje się budowę Parku Technologii i Logistyki Przemysłu INTERIOR w Nowej Soli realizowanego w ramach Lubuskiego Regionalnego Programu Operacyjnego na lata 2007-2013. Zachodni Park Technologiczny „Interior” w Nowej Soli ma przyczynić się do podniesienia konkurencyjności przedsiębiorstw oraz zainspirowania powstawania nowych firm, udostępniając im now</w:t>
      </w:r>
      <w:r w:rsidR="00A319AB" w:rsidRPr="00662F03">
        <w:rPr>
          <w:rFonts w:ascii="Calibri" w:hAnsi="Calibri" w:cs="Tahoma"/>
          <w:sz w:val="22"/>
          <w:szCs w:val="22"/>
        </w:rPr>
        <w:t>oczesną infrastrukturę biurową,</w:t>
      </w:r>
      <w:r w:rsidRPr="00662F03">
        <w:rPr>
          <w:rFonts w:ascii="Calibri" w:hAnsi="Calibri" w:cs="Tahoma"/>
          <w:sz w:val="22"/>
          <w:szCs w:val="22"/>
        </w:rPr>
        <w:t xml:space="preserve"> techniczną i laboratoryjną, pomagając we wdrożeniu do produkcji nowoczesnych technologii oraz zapewniając dostęp do usług doradczych i szkoleniowych oraz pomoc i ułatwienia w ubieganiu się o środki unijne.</w:t>
      </w:r>
    </w:p>
    <w:p w:rsidR="00B9681B" w:rsidRPr="00662F03" w:rsidRDefault="005433B6"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34" style="width:449.8pt;height:197.15pt;rotation:-360;mso-position-horizontal-relative:char;mso-position-vertical-relative:line" o:allowincell="f" fillcolor="#a7bfde" stroked="f">
            <v:fill opacity="13107f"/>
            <v:imagedata embosscolor="shadow add(51)"/>
            <v:shadow on="t" color="#d4cfb3" opacity=".5" offset="19pt,-21pt" offset2="26pt,-30pt"/>
            <v:textbox style="mso-next-textbox:#_x0000_s1034;mso-fit-shape-to-text:t" inset="28.8pt,7.2pt,14.4pt,28.8pt">
              <w:txbxContent>
                <w:p w:rsidR="00D24064" w:rsidRPr="00EC0E96" w:rsidRDefault="00D24064" w:rsidP="00B9681B">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B9681B">
                  <w:pPr>
                    <w:jc w:val="both"/>
                    <w:rPr>
                      <w:rFonts w:ascii="Calibri" w:hAnsi="Calibri"/>
                      <w:i/>
                      <w:iCs/>
                      <w:color w:val="1F497D"/>
                      <w:sz w:val="22"/>
                      <w:szCs w:val="28"/>
                    </w:rPr>
                  </w:pPr>
                  <w:r w:rsidRPr="00EC0E96">
                    <w:rPr>
                      <w:rFonts w:ascii="Calibri" w:hAnsi="Calibri"/>
                      <w:i/>
                      <w:iCs/>
                      <w:color w:val="1F497D"/>
                      <w:sz w:val="22"/>
                      <w:szCs w:val="28"/>
                    </w:rPr>
                    <w:t>Oferta instytucji otoczenia biznesu jest dostosowana do potrzeb przedsiębiorców.</w:t>
                  </w:r>
                  <w:r>
                    <w:rPr>
                      <w:rFonts w:ascii="Calibri" w:hAnsi="Calibri"/>
                      <w:i/>
                      <w:iCs/>
                      <w:color w:val="1F497D"/>
                      <w:sz w:val="22"/>
                      <w:szCs w:val="28"/>
                    </w:rPr>
                    <w:t xml:space="preserve"> Większość instytucji otoczenia biznesu zlokalizowana jest w Zielonej Górze.</w:t>
                  </w:r>
                </w:p>
                <w:p w:rsidR="00D24064" w:rsidRPr="00EC0E96" w:rsidRDefault="00D24064" w:rsidP="00B9681B">
                  <w:pPr>
                    <w:jc w:val="both"/>
                    <w:rPr>
                      <w:rFonts w:ascii="Calibri" w:hAnsi="Calibri"/>
                      <w:i/>
                      <w:iCs/>
                      <w:color w:val="1F497D"/>
                      <w:sz w:val="22"/>
                      <w:szCs w:val="28"/>
                    </w:rPr>
                  </w:pPr>
                  <w:r w:rsidRPr="00EC0E96">
                    <w:rPr>
                      <w:rFonts w:ascii="Calibri" w:hAnsi="Calibri"/>
                      <w:i/>
                      <w:iCs/>
                      <w:color w:val="1F497D"/>
                      <w:sz w:val="22"/>
                      <w:szCs w:val="28"/>
                    </w:rPr>
                    <w:t>W Nowej Soli całkowicie brak nowoczesnych rozwiązań w zakresie finansowania innowacji, np. funduszu typu venture capital, funduszy seed capital, inwestorów typu business angels.</w:t>
                  </w:r>
                </w:p>
                <w:p w:rsidR="00D24064" w:rsidRPr="00EC0E96" w:rsidRDefault="00D24064" w:rsidP="00B9681B">
                  <w:pPr>
                    <w:jc w:val="both"/>
                    <w:rPr>
                      <w:rFonts w:ascii="Calibri" w:hAnsi="Calibri"/>
                      <w:i/>
                      <w:iCs/>
                      <w:color w:val="1F497D"/>
                      <w:sz w:val="22"/>
                      <w:szCs w:val="28"/>
                    </w:rPr>
                  </w:pPr>
                  <w:r w:rsidRPr="00EC0E96">
                    <w:rPr>
                      <w:rFonts w:ascii="Calibri" w:hAnsi="Calibri"/>
                      <w:i/>
                      <w:iCs/>
                      <w:color w:val="1F497D"/>
                      <w:sz w:val="22"/>
                      <w:szCs w:val="28"/>
                    </w:rPr>
                    <w:t>Aby gospodarka Nowej Soli mogła się rozwijać i być konkurencyjna, niezbędne jest zwiększenie zakresu wykorzystania wiedzy w przedsiębiorstwach oraz podnoszenie innowacyjności produkcji.</w:t>
                  </w:r>
                </w:p>
                <w:p w:rsidR="00D24064" w:rsidRPr="00EC0E96" w:rsidRDefault="00D24064" w:rsidP="00B9681B">
                  <w:pPr>
                    <w:jc w:val="both"/>
                    <w:rPr>
                      <w:rFonts w:ascii="Calibri" w:hAnsi="Calibri"/>
                      <w:i/>
                      <w:iCs/>
                      <w:color w:val="1F497D"/>
                      <w:sz w:val="22"/>
                      <w:szCs w:val="28"/>
                    </w:rPr>
                  </w:pPr>
                  <w:r w:rsidRPr="00EC0E96">
                    <w:rPr>
                      <w:rFonts w:ascii="Calibri" w:hAnsi="Calibri"/>
                      <w:i/>
                      <w:iCs/>
                      <w:color w:val="1F497D"/>
                      <w:sz w:val="22"/>
                      <w:szCs w:val="28"/>
                    </w:rPr>
                    <w:t>Aktualnie istniejący system wsparcia innowacji w województwie należy uznać za niewystarczający w stosunku do potrzeb budowania innowacyjnej gospodarki. Porównanie go z infrastrukturą innowacyjną w innych regionach Polski i Europy wskazuje na konieczność jego szybkiej rozbudowy. Niezbędne wydaje się utworzenie wspólnej platformy informacyjnej dla przedsiębiorstw – powołanie Lubuskiego Centrum Innowacji.</w:t>
                  </w:r>
                </w:p>
              </w:txbxContent>
            </v:textbox>
            <w10:wrap type="none" anchorx="margin" anchory="page"/>
            <w10:anchorlock/>
          </v:rect>
        </w:pict>
      </w:r>
    </w:p>
    <w:p w:rsidR="00856BD1" w:rsidRPr="00662F03" w:rsidRDefault="00856BD1" w:rsidP="004E5A9A">
      <w:pPr>
        <w:shd w:val="clear" w:color="auto" w:fill="FFFFFF"/>
        <w:spacing w:before="150" w:after="75"/>
        <w:jc w:val="both"/>
        <w:outlineLvl w:val="3"/>
        <w:rPr>
          <w:rFonts w:ascii="Calibri" w:hAnsi="Calibri" w:cs="Tahoma"/>
          <w:color w:val="333333"/>
          <w:sz w:val="22"/>
          <w:szCs w:val="22"/>
        </w:rPr>
      </w:pPr>
    </w:p>
    <w:p w:rsidR="003451FE" w:rsidRPr="00662F03" w:rsidRDefault="003451FE" w:rsidP="007F5FC1">
      <w:pPr>
        <w:pStyle w:val="Nagwek2"/>
        <w:numPr>
          <w:ilvl w:val="1"/>
          <w:numId w:val="1"/>
        </w:numPr>
        <w:spacing w:line="240" w:lineRule="auto"/>
        <w:rPr>
          <w:rFonts w:ascii="Calibri" w:hAnsi="Calibri"/>
          <w:color w:val="17365D"/>
          <w:sz w:val="22"/>
          <w:szCs w:val="22"/>
        </w:rPr>
      </w:pPr>
      <w:bookmarkStart w:id="84" w:name="_Toc316395267"/>
      <w:r w:rsidRPr="00662F03">
        <w:rPr>
          <w:rFonts w:ascii="Calibri" w:hAnsi="Calibri"/>
          <w:color w:val="17365D"/>
          <w:sz w:val="22"/>
          <w:szCs w:val="22"/>
        </w:rPr>
        <w:t>Bezpieczeństwo publiczne</w:t>
      </w:r>
      <w:bookmarkEnd w:id="84"/>
    </w:p>
    <w:p w:rsidR="0080460A" w:rsidRPr="00662F03" w:rsidRDefault="0080460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Kiedyś Nowa Sól nie miała zbyt pochlebnej opinii zarówno wśród mieszkańców, jak i wśród przyjezdnych, jeśli chodzi o poczucie bezpieczeństwa. </w:t>
      </w:r>
      <w:r w:rsidR="0000664E" w:rsidRPr="00662F03">
        <w:rPr>
          <w:rFonts w:ascii="Calibri" w:hAnsi="Calibri" w:cs="Tahoma"/>
          <w:sz w:val="22"/>
          <w:szCs w:val="22"/>
        </w:rPr>
        <w:t xml:space="preserve">Obecnie sytuacja uległa poprawie. Stałe patrole, w celu zwiększeniu poczucia bezpieczeństwa wśród mieszkańców pełnione są m.in. w okolicach </w:t>
      </w:r>
      <w:r w:rsidR="00030DA7">
        <w:rPr>
          <w:rFonts w:ascii="Calibri" w:hAnsi="Calibri" w:cs="Tahoma"/>
          <w:sz w:val="22"/>
          <w:szCs w:val="22"/>
        </w:rPr>
        <w:t>s</w:t>
      </w:r>
      <w:r w:rsidR="0000664E" w:rsidRPr="00662F03">
        <w:rPr>
          <w:rFonts w:ascii="Calibri" w:hAnsi="Calibri" w:cs="Tahoma"/>
          <w:sz w:val="22"/>
          <w:szCs w:val="22"/>
        </w:rPr>
        <w:t xml:space="preserve">tarego </w:t>
      </w:r>
      <w:r w:rsidR="00030DA7">
        <w:rPr>
          <w:rFonts w:ascii="Calibri" w:hAnsi="Calibri" w:cs="Tahoma"/>
          <w:sz w:val="22"/>
          <w:szCs w:val="22"/>
        </w:rPr>
        <w:t>m</w:t>
      </w:r>
      <w:r w:rsidR="0000664E" w:rsidRPr="00662F03">
        <w:rPr>
          <w:rFonts w:ascii="Calibri" w:hAnsi="Calibri" w:cs="Tahoma"/>
          <w:sz w:val="22"/>
          <w:szCs w:val="22"/>
        </w:rPr>
        <w:t xml:space="preserve">iasta oraz nowosolskich osiedli. </w:t>
      </w:r>
      <w:r w:rsidR="005945E0" w:rsidRPr="00662F03">
        <w:rPr>
          <w:rFonts w:ascii="Calibri" w:hAnsi="Calibri" w:cs="Tahoma"/>
          <w:sz w:val="22"/>
          <w:szCs w:val="22"/>
        </w:rPr>
        <w:t>Na poziom przestępczości wpływa wysokie bezrobocie w stosunku do</w:t>
      </w:r>
      <w:r w:rsidRPr="00662F03">
        <w:rPr>
          <w:rFonts w:ascii="Calibri" w:hAnsi="Calibri" w:cs="Tahoma"/>
          <w:sz w:val="22"/>
          <w:szCs w:val="22"/>
        </w:rPr>
        <w:t xml:space="preserve"> innych powiat</w:t>
      </w:r>
      <w:r w:rsidR="005945E0" w:rsidRPr="00662F03">
        <w:rPr>
          <w:rFonts w:ascii="Calibri" w:hAnsi="Calibri" w:cs="Tahoma"/>
          <w:sz w:val="22"/>
          <w:szCs w:val="22"/>
        </w:rPr>
        <w:t>ów</w:t>
      </w:r>
      <w:r w:rsidRPr="00662F03">
        <w:rPr>
          <w:rFonts w:ascii="Calibri" w:hAnsi="Calibri" w:cs="Tahoma"/>
          <w:sz w:val="22"/>
          <w:szCs w:val="22"/>
        </w:rPr>
        <w:t xml:space="preserve"> województwa lubuskiego.</w:t>
      </w:r>
    </w:p>
    <w:p w:rsidR="008812D7" w:rsidRPr="00662F03" w:rsidRDefault="008812D7"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Od początku 2011 roku na terenie miasta dochodziło średnio do ponad pięćdziesięciu najbardziej pospolitych przestępstw miesięcznie. To rozboje, kradzieże, w tym także z włamaniem oraz zniszczenia mienia. Z analizy statystyk policyjnych wynika, że jest coraz bezpieczniej. Miejsca szczególnie zagrożone działalnością przestępców to rejon </w:t>
      </w:r>
      <w:r w:rsidR="008D6428">
        <w:rPr>
          <w:rFonts w:ascii="Calibri" w:hAnsi="Calibri" w:cs="Tahoma"/>
          <w:sz w:val="22"/>
          <w:szCs w:val="22"/>
        </w:rPr>
        <w:t>s</w:t>
      </w:r>
      <w:r w:rsidRPr="00662F03">
        <w:rPr>
          <w:rFonts w:ascii="Calibri" w:hAnsi="Calibri" w:cs="Tahoma"/>
          <w:sz w:val="22"/>
          <w:szCs w:val="22"/>
        </w:rPr>
        <w:t xml:space="preserve">tarego </w:t>
      </w:r>
      <w:r w:rsidR="008D6428">
        <w:rPr>
          <w:rFonts w:ascii="Calibri" w:hAnsi="Calibri" w:cs="Tahoma"/>
          <w:sz w:val="22"/>
          <w:szCs w:val="22"/>
        </w:rPr>
        <w:t>m</w:t>
      </w:r>
      <w:r w:rsidRPr="00662F03">
        <w:rPr>
          <w:rFonts w:ascii="Calibri" w:hAnsi="Calibri" w:cs="Tahoma"/>
          <w:sz w:val="22"/>
          <w:szCs w:val="22"/>
        </w:rPr>
        <w:t>iasta (ulice Szkolna, Parafialna, Wrocławska, Witosa, Hutnicza i róg Wandy oraz Odrzańska). Bezpieczne za to jest na osiedlach domków jednorodzinnych Stare Żabno i Pleszówek, podobnie na osiedlach domków na Zatrorzu.</w:t>
      </w:r>
    </w:p>
    <w:p w:rsidR="008812D7" w:rsidRPr="00662F03" w:rsidRDefault="008812D7"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Policjanci większą ilością patroli objęli także rejony sklepów nocnych- sz</w:t>
      </w:r>
      <w:r w:rsidR="008D6428">
        <w:rPr>
          <w:rFonts w:ascii="Calibri" w:hAnsi="Calibri" w:cs="Tahoma"/>
          <w:sz w:val="22"/>
          <w:szCs w:val="22"/>
        </w:rPr>
        <w:t xml:space="preserve">czególnie przy „Gosposi” na ul. </w:t>
      </w:r>
      <w:r w:rsidRPr="00662F03">
        <w:rPr>
          <w:rFonts w:ascii="Calibri" w:hAnsi="Calibri" w:cs="Tahoma"/>
          <w:sz w:val="22"/>
          <w:szCs w:val="22"/>
        </w:rPr>
        <w:t>Wróblewskiego i „ABC” na os. Konstytucji 3-go Maja. Patrole zaglądają nawet na place zabaw, np. na os. Kopernika, gdzie zazwyczaj wieczorami spotyka się młodzież pijąca alkohol i zakłócająca porządek. Działania te są intensyfikowane szczególnie w weekendy w godzinach wieczornych.</w:t>
      </w:r>
    </w:p>
    <w:p w:rsidR="008812D7" w:rsidRPr="00662F03" w:rsidRDefault="008812D7"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centrum Nowej Soli w utrzymaniu porządku pomagają kamery. Swoim zasięgiem obejmują ulice przelotowe miasta oraz centrum, tj. ul. Piłsudskiego, Dąbrowskiego, Wyspiańskiego, Plac Wyzwolenia rejon. os. Konstytucji, os. XXX-lecia oraz os. Kopernika. Poza tym w systemy alarmowe wyposażone są podstawowe obiekty handlowe i urzędy.</w:t>
      </w:r>
    </w:p>
    <w:p w:rsidR="005945E0" w:rsidRPr="00662F03" w:rsidRDefault="005945E0" w:rsidP="005945E0">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terenie powiatu nowosolskiego zmniejszyła się ogólna liczba wypadków drogowych z 70 w 2009 r. do 63 w roku 2010, co za tym idzie zmniejszyła się liczba wypadków ze skutkiem śmiertelnym. Policjanci zatrzymali 505 nietrzeźwych kierujących lub będących pod wpływem środka odurzającego, co jest wynikiem porównywalnym w zestawieniu z 2009 r. W roku 2010 r. funkcjonariusze wszczęli 2794 postępowań (dochodzeń i śledztw), zakończonych postępowań zostało 3192.</w:t>
      </w:r>
    </w:p>
    <w:p w:rsidR="0080460A" w:rsidRPr="00662F03" w:rsidRDefault="0080460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2010 r. ogólny wskaźnik wykrywalności przestępstw wyniósł 78,3% i był wyższy niż w 2009 r., kiedy wynosił 76,8%. Przestępstw kryminalnych wykryto w ub. r. 68,7%. (66,1% w 2009 r.), a przestępstw przeciw życiu wykryto 83,5% (78,7% w 2009 r.)</w:t>
      </w:r>
      <w:r w:rsidR="00F4371C" w:rsidRPr="00662F03">
        <w:rPr>
          <w:rStyle w:val="Odwoanieprzypisudolnego"/>
          <w:rFonts w:ascii="Calibri" w:hAnsi="Calibri" w:cs="Tahoma"/>
          <w:sz w:val="22"/>
          <w:szCs w:val="22"/>
        </w:rPr>
        <w:footnoteReference w:id="24"/>
      </w:r>
      <w:r w:rsidRPr="00662F03">
        <w:rPr>
          <w:rFonts w:ascii="Calibri" w:hAnsi="Calibri" w:cs="Tahoma"/>
          <w:sz w:val="22"/>
          <w:szCs w:val="22"/>
        </w:rPr>
        <w:t>.</w:t>
      </w:r>
    </w:p>
    <w:p w:rsidR="00A367DE" w:rsidRPr="00662F03" w:rsidRDefault="00A367DE" w:rsidP="004E5A9A">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Straż Miejska w Nowej Soli jest bardzo dobrze wyposażona i nie zgłasza większych potrzeb sprzętowych.</w:t>
      </w:r>
    </w:p>
    <w:p w:rsidR="005B158B" w:rsidRPr="00662F03" w:rsidRDefault="005B158B"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Komenda</w:t>
      </w:r>
      <w:r w:rsidR="00731BC8" w:rsidRPr="00662F03">
        <w:rPr>
          <w:rFonts w:ascii="Calibri" w:hAnsi="Calibri" w:cs="Tahoma"/>
          <w:sz w:val="22"/>
          <w:szCs w:val="22"/>
        </w:rPr>
        <w:t xml:space="preserve"> real</w:t>
      </w:r>
      <w:r w:rsidR="00195696">
        <w:rPr>
          <w:rFonts w:ascii="Calibri" w:hAnsi="Calibri" w:cs="Tahoma"/>
          <w:sz w:val="22"/>
          <w:szCs w:val="22"/>
        </w:rPr>
        <w:t>izuje programy prewencyjne, np.</w:t>
      </w:r>
      <w:r w:rsidRPr="00662F03">
        <w:rPr>
          <w:rFonts w:ascii="Calibri" w:hAnsi="Calibri" w:cs="Tahoma"/>
          <w:sz w:val="22"/>
          <w:szCs w:val="22"/>
        </w:rPr>
        <w:t xml:space="preserve"> </w:t>
      </w:r>
      <w:r w:rsidR="00F4371C" w:rsidRPr="00662F03">
        <w:rPr>
          <w:rFonts w:ascii="Calibri" w:hAnsi="Calibri" w:cs="Tahoma"/>
          <w:sz w:val="22"/>
          <w:szCs w:val="22"/>
        </w:rPr>
        <w:t>„</w:t>
      </w:r>
      <w:r w:rsidRPr="00662F03">
        <w:rPr>
          <w:rFonts w:ascii="Calibri" w:hAnsi="Calibri" w:cs="Tahoma"/>
          <w:sz w:val="22"/>
          <w:szCs w:val="22"/>
        </w:rPr>
        <w:t>Lupo</w:t>
      </w:r>
      <w:r w:rsidR="00F4371C" w:rsidRPr="00662F03">
        <w:rPr>
          <w:rFonts w:ascii="Calibri" w:hAnsi="Calibri" w:cs="Tahoma"/>
          <w:sz w:val="22"/>
          <w:szCs w:val="22"/>
        </w:rPr>
        <w:t>”</w:t>
      </w:r>
      <w:r w:rsidRPr="00662F03">
        <w:rPr>
          <w:rFonts w:ascii="Calibri" w:hAnsi="Calibri" w:cs="Tahoma"/>
          <w:sz w:val="22"/>
          <w:szCs w:val="22"/>
        </w:rPr>
        <w:t xml:space="preserve"> -program mający na celu budowanie zaufania do Policji wśród dzieci i młodzieży,</w:t>
      </w:r>
      <w:r w:rsidR="00731BC8" w:rsidRPr="00662F03">
        <w:rPr>
          <w:rFonts w:ascii="Calibri" w:hAnsi="Calibri" w:cs="Tahoma"/>
          <w:sz w:val="22"/>
          <w:szCs w:val="22"/>
        </w:rPr>
        <w:t xml:space="preserve"> czy</w:t>
      </w:r>
      <w:r w:rsidR="0080460A" w:rsidRPr="00662F03">
        <w:rPr>
          <w:rFonts w:ascii="Calibri" w:hAnsi="Calibri" w:cs="Tahoma"/>
          <w:sz w:val="22"/>
          <w:szCs w:val="22"/>
        </w:rPr>
        <w:t xml:space="preserve"> „Bezpieczne wakacje”, któr</w:t>
      </w:r>
      <w:r w:rsidR="00731BC8" w:rsidRPr="00662F03">
        <w:rPr>
          <w:rFonts w:ascii="Calibri" w:hAnsi="Calibri" w:cs="Tahoma"/>
          <w:sz w:val="22"/>
          <w:szCs w:val="22"/>
        </w:rPr>
        <w:t>ego</w:t>
      </w:r>
      <w:r w:rsidR="0080460A" w:rsidRPr="00662F03">
        <w:rPr>
          <w:rFonts w:ascii="Calibri" w:hAnsi="Calibri" w:cs="Tahoma"/>
          <w:sz w:val="22"/>
          <w:szCs w:val="22"/>
        </w:rPr>
        <w:t xml:space="preserve"> celem jest ochrona życia, zdrowia i mienia głównie najmłodszych w sezonie turystyczno-wypoczynkowym.</w:t>
      </w:r>
    </w:p>
    <w:p w:rsidR="004717D3" w:rsidRPr="00662F03" w:rsidRDefault="004717D3" w:rsidP="004E5A9A">
      <w:pPr>
        <w:shd w:val="clear" w:color="auto" w:fill="FFFFFF"/>
        <w:spacing w:before="150" w:after="75"/>
        <w:jc w:val="both"/>
        <w:outlineLvl w:val="3"/>
        <w:rPr>
          <w:rFonts w:ascii="Calibri" w:hAnsi="Calibri" w:cs="Tahoma"/>
          <w:sz w:val="22"/>
          <w:szCs w:val="22"/>
        </w:rPr>
      </w:pPr>
    </w:p>
    <w:p w:rsidR="004717D3" w:rsidRPr="00662F03" w:rsidRDefault="005433B6" w:rsidP="004E5A9A">
      <w:pPr>
        <w:shd w:val="clear" w:color="auto" w:fill="FFFFFF"/>
        <w:spacing w:before="150" w:after="75"/>
        <w:jc w:val="both"/>
        <w:outlineLvl w:val="3"/>
        <w:rPr>
          <w:rFonts w:ascii="Calibri" w:hAnsi="Calibri"/>
        </w:rPr>
      </w:pPr>
      <w:r>
        <w:rPr>
          <w:rFonts w:ascii="Calibri" w:hAnsi="Calibri"/>
        </w:rPr>
      </w:r>
      <w:r w:rsidR="00072369">
        <w:rPr>
          <w:rFonts w:ascii="Calibri" w:hAnsi="Calibri"/>
        </w:rPr>
        <w:pict>
          <v:roundrect id="_x0000_s1033"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33;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211558" w:rsidRPr="008522CD" w:rsidRDefault="00211558" w:rsidP="00211558">
      <w:pPr>
        <w:shd w:val="clear" w:color="auto" w:fill="FFFFFF"/>
        <w:spacing w:before="150" w:after="75"/>
        <w:jc w:val="both"/>
        <w:outlineLvl w:val="3"/>
        <w:rPr>
          <w:rFonts w:ascii="Calibri" w:hAnsi="Calibri" w:cs="Tahoma"/>
          <w:shadow/>
          <w:color w:val="808080"/>
          <w:sz w:val="22"/>
        </w:rPr>
      </w:pPr>
      <w:r w:rsidRPr="008522CD">
        <w:rPr>
          <w:rFonts w:ascii="Calibri" w:hAnsi="Calibri" w:cs="Tahoma"/>
          <w:shadow/>
          <w:color w:val="808080"/>
          <w:sz w:val="22"/>
        </w:rPr>
        <w:t xml:space="preserve">Mieszkańcy twierdzą, że czują się w mieście bezpiecznie, jednak przewaga osób tak twierdzących nad pozostałymi nie jest duża. 54% w ocenie ważonej twierdzi, że czuje się bezpiecznie. Znacznie mniej bezpiecznie niż mężczyźni czują się kobiety, wśród nich przeważają osoby nie zgadzające się z twierdzeniem, że w mieście jest bezpiecznie (52%). Poczucie bezpieczeństwa spada wraz z wykształceniem, w żadnej grupie w tej kategorii jednak nie przeważyła większość obawiająca się o </w:t>
      </w:r>
      <w:r w:rsidRPr="008522CD">
        <w:rPr>
          <w:rFonts w:ascii="Calibri" w:hAnsi="Calibri" w:cs="Tahoma"/>
          <w:shadow/>
          <w:color w:val="808080"/>
          <w:sz w:val="22"/>
        </w:rPr>
        <w:lastRenderedPageBreak/>
        <w:t>swoje bezpieczeństwo. Inaczej jest w kategorii wiekowej. Tu dysproporcje w ocenie tego zjawiska są bardzo duże. Najmłodsi respondenci w wieku 18-29 lat w zdecydowanej większości (76%) twierdzą, że czują się w mieście bezpiecznie. Kolejna grupa wiekowa również czuje się bezpiecznie, ale już tylko wśród 62% dominuje ten pogląd. Osoby w wieku 40 lat i poniżej twierdzą, że w mieście nie jest bezpiecznie. Poczucie bezpieczeństwa jest dla mieszkańców bardzo ważnym kryterium oceny atrakcyjności miasta jako miejsca zamieszkania. Ważniejszym jest tylko dostęp do porady lekarskiej. Wszystkie grupy respondentów jednakowo wysoko oceniają to kryterium.</w:t>
      </w:r>
    </w:p>
    <w:p w:rsidR="00211558" w:rsidRPr="008522CD" w:rsidRDefault="00211558" w:rsidP="00211558">
      <w:pPr>
        <w:shd w:val="clear" w:color="auto" w:fill="FFFFFF"/>
        <w:spacing w:before="150" w:after="75"/>
        <w:jc w:val="both"/>
        <w:outlineLvl w:val="3"/>
        <w:rPr>
          <w:rFonts w:ascii="Calibri" w:hAnsi="Calibri" w:cs="Tahoma"/>
          <w:shadow/>
          <w:color w:val="808080"/>
          <w:sz w:val="22"/>
        </w:rPr>
      </w:pPr>
      <w:r w:rsidRPr="008522CD">
        <w:rPr>
          <w:rFonts w:ascii="Calibri" w:hAnsi="Calibri" w:cs="Tahoma"/>
          <w:b/>
          <w:shadow/>
          <w:color w:val="808080"/>
          <w:sz w:val="22"/>
        </w:rPr>
        <w:t>Wnioski:</w:t>
      </w:r>
      <w:r w:rsidRPr="008522CD">
        <w:rPr>
          <w:rFonts w:ascii="Calibri" w:hAnsi="Calibri" w:cs="Tahoma"/>
          <w:shadow/>
          <w:color w:val="808080"/>
          <w:sz w:val="22"/>
        </w:rPr>
        <w:t xml:space="preserve"> Poczucie bezpieczeństwa nie jest jednoznacznie oceniane jako mocna lub jako słaba strona miasta. Zdanie obywateli na ten temat jest podzielone, ale wszyscy stwierdzają, że jest to bardzo ważne kryterium jakości życia. Działania zaplanowane w ramach strategii powinny być nakierowane na poprawę stanu i powinny otrzymać status priorytetowych głównie te skierowane do poprawy poczucia bezpieczeństwa osób starszych i kobiet.</w:t>
      </w:r>
    </w:p>
    <w:p w:rsidR="00211558" w:rsidRPr="006A1A22" w:rsidRDefault="00AA21BF" w:rsidP="00AA21BF">
      <w:pPr>
        <w:pStyle w:val="Legenda"/>
        <w:rPr>
          <w:rFonts w:ascii="Calibri" w:hAnsi="Calibri" w:cs="Tahoma"/>
          <w:b w:val="0"/>
          <w:shadow/>
          <w:color w:val="808080"/>
          <w:szCs w:val="22"/>
        </w:rPr>
      </w:pPr>
      <w:bookmarkStart w:id="85" w:name="_Toc315790528"/>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59</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mieście czują się bezpiecznie.</w:t>
      </w:r>
      <w:bookmarkEnd w:id="85"/>
    </w:p>
    <w:p w:rsidR="00211558" w:rsidRPr="00662F03" w:rsidRDefault="005B1628" w:rsidP="008522CD">
      <w:pPr>
        <w:jc w:val="center"/>
        <w:rPr>
          <w:rFonts w:ascii="Calibri" w:hAnsi="Calibri"/>
        </w:rPr>
      </w:pPr>
      <w:r>
        <w:rPr>
          <w:rFonts w:ascii="Calibri" w:hAnsi="Calibri"/>
          <w:noProof/>
        </w:rPr>
        <w:drawing>
          <wp:inline distT="0" distB="0" distL="0" distR="0">
            <wp:extent cx="4679792" cy="2928239"/>
            <wp:effectExtent l="19050" t="0" r="25558" b="5461"/>
            <wp:docPr id="82" name="Wykres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AA21BF" w:rsidRPr="006A1A22" w:rsidRDefault="00AA21BF" w:rsidP="006A1A22">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AA21BF" w:rsidRPr="006A1A22" w:rsidRDefault="00AA21BF" w:rsidP="006A1A22">
      <w:pPr>
        <w:jc w:val="both"/>
        <w:rPr>
          <w:rFonts w:ascii="Calibri" w:hAnsi="Calibri"/>
          <w:sz w:val="22"/>
        </w:rPr>
      </w:pPr>
    </w:p>
    <w:p w:rsidR="00AA21BF" w:rsidRPr="006A1A22" w:rsidRDefault="00AA21BF" w:rsidP="006A1A22">
      <w:pPr>
        <w:pStyle w:val="Legenda"/>
        <w:jc w:val="both"/>
        <w:rPr>
          <w:rFonts w:ascii="Calibri" w:hAnsi="Calibri"/>
          <w:b w:val="0"/>
          <w:sz w:val="18"/>
        </w:rPr>
      </w:pPr>
      <w:bookmarkStart w:id="86" w:name="_Toc315790529"/>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60</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poczucie bezpieczeństwa w mieście ma znaczenie w atrakcyjności miasta jako miejsca zamieszkania.</w:t>
      </w:r>
      <w:bookmarkEnd w:id="86"/>
    </w:p>
    <w:p w:rsidR="00211558" w:rsidRPr="00662F03" w:rsidRDefault="005B1628" w:rsidP="008522CD">
      <w:pPr>
        <w:jc w:val="center"/>
        <w:rPr>
          <w:rFonts w:ascii="Calibri" w:hAnsi="Calibri"/>
        </w:rPr>
      </w:pPr>
      <w:r>
        <w:rPr>
          <w:rFonts w:ascii="Calibri" w:hAnsi="Calibri"/>
          <w:noProof/>
        </w:rPr>
        <w:drawing>
          <wp:inline distT="0" distB="0" distL="0" distR="0">
            <wp:extent cx="4587402" cy="2989766"/>
            <wp:effectExtent l="19050" t="0" r="22698" b="1084"/>
            <wp:docPr id="83" name="Wykres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211558" w:rsidRPr="00662F03" w:rsidRDefault="00211558" w:rsidP="004E5A9A">
      <w:pPr>
        <w:shd w:val="clear" w:color="auto" w:fill="FFFFFF"/>
        <w:spacing w:before="150" w:after="75"/>
        <w:jc w:val="both"/>
        <w:outlineLvl w:val="3"/>
        <w:rPr>
          <w:rFonts w:ascii="Calibri" w:hAnsi="Calibri" w:cs="Tahoma"/>
          <w:sz w:val="22"/>
          <w:szCs w:val="22"/>
        </w:rPr>
      </w:pPr>
    </w:p>
    <w:p w:rsidR="00E56C6A" w:rsidRPr="00662F03" w:rsidRDefault="005433B6"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32" style="width:449.8pt;height:89.7pt;rotation:-360;mso-position-horizontal-relative:char;mso-position-vertical-relative:line" o:allowincell="f" fillcolor="#a7bfde" stroked="f">
            <v:fill opacity="13107f"/>
            <v:imagedata embosscolor="shadow add(51)"/>
            <v:shadow on="t" color="#d4cfb3" opacity=".5" offset="19pt,-21pt" offset2="26pt,-30pt"/>
            <v:textbox style="mso-next-textbox:#_x0000_s1032;mso-fit-shape-to-text:t" inset="28.8pt,7.2pt,14.4pt,28.8pt">
              <w:txbxContent>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Default="00D24064" w:rsidP="00996028">
                  <w:pPr>
                    <w:jc w:val="both"/>
                    <w:rPr>
                      <w:rFonts w:ascii="Calibri" w:hAnsi="Calibri"/>
                      <w:i/>
                      <w:iCs/>
                      <w:color w:val="1F497D"/>
                      <w:sz w:val="22"/>
                      <w:szCs w:val="28"/>
                    </w:rPr>
                  </w:pPr>
                  <w:r w:rsidRPr="00EC0E96">
                    <w:rPr>
                      <w:rFonts w:ascii="Calibri" w:hAnsi="Calibri"/>
                      <w:i/>
                      <w:iCs/>
                      <w:color w:val="1F497D"/>
                      <w:sz w:val="22"/>
                      <w:szCs w:val="28"/>
                    </w:rPr>
                    <w:t>W ostatnich latach stan bezpieczeństwa w Nowej Soli ulega systematycznej poprawie.</w:t>
                  </w:r>
                  <w:r>
                    <w:rPr>
                      <w:rFonts w:ascii="Calibri" w:hAnsi="Calibri"/>
                      <w:i/>
                      <w:iCs/>
                      <w:color w:val="1F497D"/>
                      <w:sz w:val="22"/>
                      <w:szCs w:val="28"/>
                    </w:rPr>
                    <w:t xml:space="preserve"> Wzrósł ogólny wskaźnik wykrywalności przestępstw. Zdaniem mieszkańców poczucie bezpieczeństwa pozostaje niewystarczające.</w:t>
                  </w:r>
                </w:p>
                <w:p w:rsidR="00D24064" w:rsidRPr="00EC0E96" w:rsidRDefault="00D24064" w:rsidP="00996028">
                  <w:pPr>
                    <w:jc w:val="both"/>
                    <w:rPr>
                      <w:rFonts w:ascii="Calibri" w:hAnsi="Calibri"/>
                      <w:i/>
                      <w:iCs/>
                      <w:color w:val="1F497D"/>
                      <w:sz w:val="22"/>
                      <w:szCs w:val="28"/>
                    </w:rPr>
                  </w:pPr>
                  <w:r>
                    <w:rPr>
                      <w:rFonts w:ascii="Calibri" w:hAnsi="Calibri"/>
                      <w:i/>
                      <w:iCs/>
                      <w:color w:val="1F497D"/>
                      <w:sz w:val="22"/>
                      <w:szCs w:val="28"/>
                    </w:rPr>
                    <w:t xml:space="preserve">W centrum miasta jest zainstalowany system monitoringu wizyjnego, ponadto </w:t>
                  </w:r>
                  <w:r w:rsidRPr="00195696">
                    <w:rPr>
                      <w:rFonts w:ascii="Calibri" w:hAnsi="Calibri"/>
                      <w:i/>
                      <w:iCs/>
                      <w:color w:val="1F497D"/>
                      <w:sz w:val="22"/>
                      <w:szCs w:val="28"/>
                    </w:rPr>
                    <w:t>w systemy alarmowe wyposażone są podstawowe obiekty handlowe i urzędy.</w:t>
                  </w:r>
                </w:p>
                <w:p w:rsidR="00D24064" w:rsidRPr="00EC0E96" w:rsidRDefault="00D24064" w:rsidP="00996028">
                  <w:pPr>
                    <w:jc w:val="both"/>
                    <w:rPr>
                      <w:rFonts w:ascii="Calibri" w:hAnsi="Calibri"/>
                      <w:i/>
                      <w:iCs/>
                      <w:color w:val="1F497D"/>
                      <w:sz w:val="22"/>
                      <w:szCs w:val="28"/>
                    </w:rPr>
                  </w:pPr>
                  <w:r w:rsidRPr="00EC0E96">
                    <w:rPr>
                      <w:rFonts w:ascii="Calibri" w:hAnsi="Calibri"/>
                      <w:i/>
                      <w:iCs/>
                      <w:color w:val="1F497D"/>
                      <w:sz w:val="22"/>
                      <w:szCs w:val="28"/>
                    </w:rPr>
                    <w:t>Dla zwiększenia bezpieczeństwa w mieście podejmuje się szereg działań, jak np. programy edukacyjne, informacyjne, system monitoringu miejskiego.</w:t>
                  </w:r>
                </w:p>
              </w:txbxContent>
            </v:textbox>
            <w10:wrap type="none" anchorx="margin" anchory="page"/>
            <w10:anchorlock/>
          </v:rect>
        </w:pict>
      </w:r>
    </w:p>
    <w:p w:rsidR="0003372A" w:rsidRPr="00662F03" w:rsidRDefault="0003372A" w:rsidP="004E5A9A">
      <w:pPr>
        <w:shd w:val="clear" w:color="auto" w:fill="FFFFFF"/>
        <w:spacing w:before="150" w:after="75"/>
        <w:jc w:val="both"/>
        <w:outlineLvl w:val="3"/>
        <w:rPr>
          <w:rFonts w:ascii="Calibri" w:hAnsi="Calibri" w:cs="Tahoma"/>
          <w:sz w:val="22"/>
          <w:szCs w:val="22"/>
        </w:rPr>
      </w:pPr>
    </w:p>
    <w:p w:rsidR="005567C5" w:rsidRPr="00662F03" w:rsidRDefault="00451082" w:rsidP="007F5FC1">
      <w:pPr>
        <w:pStyle w:val="Nagwek1"/>
        <w:numPr>
          <w:ilvl w:val="0"/>
          <w:numId w:val="1"/>
        </w:numPr>
        <w:rPr>
          <w:rFonts w:ascii="Calibri" w:hAnsi="Calibri"/>
          <w:color w:val="17365D"/>
          <w:sz w:val="22"/>
        </w:rPr>
      </w:pPr>
      <w:bookmarkStart w:id="87" w:name="_Toc316395268"/>
      <w:r w:rsidRPr="00662F03">
        <w:rPr>
          <w:rFonts w:ascii="Calibri" w:hAnsi="Calibri"/>
          <w:color w:val="17365D"/>
          <w:sz w:val="22"/>
        </w:rPr>
        <w:t>A</w:t>
      </w:r>
      <w:r w:rsidR="000F7C7D" w:rsidRPr="00662F03">
        <w:rPr>
          <w:rFonts w:ascii="Calibri" w:hAnsi="Calibri"/>
          <w:color w:val="17365D"/>
          <w:sz w:val="22"/>
        </w:rPr>
        <w:t>naliz</w:t>
      </w:r>
      <w:r w:rsidRPr="00662F03">
        <w:rPr>
          <w:rFonts w:ascii="Calibri" w:hAnsi="Calibri"/>
          <w:color w:val="17365D"/>
          <w:sz w:val="22"/>
        </w:rPr>
        <w:t>a</w:t>
      </w:r>
      <w:r w:rsidR="000F7C7D" w:rsidRPr="00662F03">
        <w:rPr>
          <w:rFonts w:ascii="Calibri" w:hAnsi="Calibri"/>
          <w:color w:val="17365D"/>
          <w:sz w:val="22"/>
        </w:rPr>
        <w:t xml:space="preserve"> położenia </w:t>
      </w:r>
      <w:r w:rsidR="006B653C" w:rsidRPr="00662F03">
        <w:rPr>
          <w:rFonts w:ascii="Calibri" w:hAnsi="Calibri"/>
          <w:color w:val="17365D"/>
          <w:sz w:val="22"/>
        </w:rPr>
        <w:t>miasta</w:t>
      </w:r>
      <w:r w:rsidR="000F7C7D" w:rsidRPr="00662F03">
        <w:rPr>
          <w:rFonts w:ascii="Calibri" w:hAnsi="Calibri"/>
          <w:color w:val="17365D"/>
          <w:sz w:val="22"/>
        </w:rPr>
        <w:t>, analiz</w:t>
      </w:r>
      <w:r w:rsidR="0078532F" w:rsidRPr="00662F03">
        <w:rPr>
          <w:rFonts w:ascii="Calibri" w:hAnsi="Calibri"/>
          <w:color w:val="17365D"/>
          <w:sz w:val="22"/>
        </w:rPr>
        <w:t>a</w:t>
      </w:r>
      <w:r w:rsidR="000F7C7D" w:rsidRPr="00662F03">
        <w:rPr>
          <w:rFonts w:ascii="Calibri" w:hAnsi="Calibri"/>
          <w:color w:val="17365D"/>
          <w:sz w:val="22"/>
        </w:rPr>
        <w:t xml:space="preserve"> przestrzenn</w:t>
      </w:r>
      <w:r w:rsidR="0078532F" w:rsidRPr="00662F03">
        <w:rPr>
          <w:rFonts w:ascii="Calibri" w:hAnsi="Calibri"/>
          <w:color w:val="17365D"/>
          <w:sz w:val="22"/>
        </w:rPr>
        <w:t>a</w:t>
      </w:r>
      <w:r w:rsidR="006B653C" w:rsidRPr="00662F03">
        <w:rPr>
          <w:rFonts w:ascii="Calibri" w:hAnsi="Calibri"/>
          <w:color w:val="17365D"/>
          <w:sz w:val="22"/>
        </w:rPr>
        <w:t>, struktury władania gruntami</w:t>
      </w:r>
      <w:bookmarkEnd w:id="87"/>
    </w:p>
    <w:p w:rsidR="00AC314D" w:rsidRPr="00662F03" w:rsidRDefault="003342B0"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Gmina miejska Nowa Sól poło</w:t>
      </w:r>
      <w:r w:rsidR="00EE439F" w:rsidRPr="00662F03">
        <w:rPr>
          <w:rFonts w:ascii="Calibri" w:hAnsi="Calibri" w:cs="Tahoma"/>
          <w:sz w:val="22"/>
          <w:szCs w:val="22"/>
        </w:rPr>
        <w:t>żona jest w południowo-</w:t>
      </w:r>
      <w:r w:rsidRPr="00662F03">
        <w:rPr>
          <w:rFonts w:ascii="Calibri" w:hAnsi="Calibri" w:cs="Tahoma"/>
          <w:sz w:val="22"/>
          <w:szCs w:val="22"/>
        </w:rPr>
        <w:t xml:space="preserve">wschodniej części województwa lubuskiego. </w:t>
      </w:r>
      <w:r w:rsidR="001E3E35" w:rsidRPr="00662F03">
        <w:rPr>
          <w:rFonts w:ascii="Calibri" w:hAnsi="Calibri" w:cs="Tahoma"/>
          <w:sz w:val="22"/>
          <w:szCs w:val="22"/>
        </w:rPr>
        <w:t>Miasto zajmuje powierzchnię 22</w:t>
      </w:r>
      <w:r w:rsidR="00EE439F" w:rsidRPr="00662F03">
        <w:rPr>
          <w:rFonts w:ascii="Calibri" w:hAnsi="Calibri" w:cs="Tahoma"/>
          <w:sz w:val="22"/>
          <w:szCs w:val="22"/>
        </w:rPr>
        <w:t xml:space="preserve"> km</w:t>
      </w:r>
      <w:r w:rsidR="00EE439F" w:rsidRPr="00662F03">
        <w:rPr>
          <w:rFonts w:ascii="Calibri" w:hAnsi="Calibri" w:cs="Tahoma"/>
          <w:sz w:val="22"/>
          <w:szCs w:val="22"/>
          <w:vertAlign w:val="superscript"/>
        </w:rPr>
        <w:t>2</w:t>
      </w:r>
      <w:r w:rsidR="00EE439F" w:rsidRPr="00662F03">
        <w:rPr>
          <w:rFonts w:ascii="Calibri" w:hAnsi="Calibri" w:cs="Tahoma"/>
          <w:sz w:val="22"/>
          <w:szCs w:val="22"/>
        </w:rPr>
        <w:t xml:space="preserve">, co stanowi </w:t>
      </w:r>
      <w:r w:rsidR="008844EC" w:rsidRPr="00662F03">
        <w:rPr>
          <w:rFonts w:ascii="Calibri" w:hAnsi="Calibri" w:cs="Tahoma"/>
          <w:sz w:val="22"/>
          <w:szCs w:val="22"/>
        </w:rPr>
        <w:t>prawie 3</w:t>
      </w:r>
      <w:r w:rsidR="00EE439F" w:rsidRPr="00662F03">
        <w:rPr>
          <w:rFonts w:ascii="Calibri" w:hAnsi="Calibri" w:cs="Tahoma"/>
          <w:sz w:val="22"/>
          <w:szCs w:val="22"/>
        </w:rPr>
        <w:t>% powierzchni powiatu nowosolskiego. Nowa Sól j</w:t>
      </w:r>
      <w:r w:rsidR="009B7846" w:rsidRPr="00662F03">
        <w:rPr>
          <w:rFonts w:ascii="Calibri" w:hAnsi="Calibri" w:cs="Tahoma"/>
          <w:sz w:val="22"/>
          <w:szCs w:val="22"/>
        </w:rPr>
        <w:t>est trzecim co do wielkości miastem w województwie lubuskim</w:t>
      </w:r>
      <w:r w:rsidR="00EE439F" w:rsidRPr="00662F03">
        <w:rPr>
          <w:rFonts w:ascii="Calibri" w:hAnsi="Calibri" w:cs="Tahoma"/>
          <w:sz w:val="22"/>
          <w:szCs w:val="22"/>
        </w:rPr>
        <w:t>,</w:t>
      </w:r>
      <w:r w:rsidR="009B7846" w:rsidRPr="00662F03">
        <w:rPr>
          <w:rFonts w:ascii="Calibri" w:hAnsi="Calibri" w:cs="Tahoma"/>
          <w:sz w:val="22"/>
          <w:szCs w:val="22"/>
        </w:rPr>
        <w:t xml:space="preserve"> tworząc z Zieloną Gór</w:t>
      </w:r>
      <w:r w:rsidR="0030186D" w:rsidRPr="00662F03">
        <w:rPr>
          <w:rFonts w:ascii="Calibri" w:hAnsi="Calibri" w:cs="Tahoma"/>
          <w:sz w:val="22"/>
          <w:szCs w:val="22"/>
        </w:rPr>
        <w:t>ą</w:t>
      </w:r>
      <w:r w:rsidR="009B7846" w:rsidRPr="00662F03">
        <w:rPr>
          <w:rFonts w:ascii="Calibri" w:hAnsi="Calibri" w:cs="Tahoma"/>
          <w:sz w:val="22"/>
          <w:szCs w:val="22"/>
        </w:rPr>
        <w:t xml:space="preserve"> i Sulechowem Lubuskie Trójmiasto.</w:t>
      </w:r>
      <w:r w:rsidR="00FE74F0" w:rsidRPr="00662F03">
        <w:rPr>
          <w:rFonts w:ascii="Calibri" w:hAnsi="Calibri" w:cs="Tahoma"/>
          <w:sz w:val="22"/>
          <w:szCs w:val="22"/>
        </w:rPr>
        <w:t xml:space="preserve"> </w:t>
      </w:r>
      <w:r w:rsidR="00EE439F" w:rsidRPr="00662F03">
        <w:rPr>
          <w:rFonts w:ascii="Calibri" w:hAnsi="Calibri" w:cs="Tahoma"/>
          <w:sz w:val="22"/>
          <w:szCs w:val="22"/>
        </w:rPr>
        <w:t xml:space="preserve">Położenie miasta w regionie jest korzystne. Wpływ na to ma </w:t>
      </w:r>
      <w:r w:rsidR="001E3E35" w:rsidRPr="00662F03">
        <w:rPr>
          <w:rFonts w:ascii="Calibri" w:hAnsi="Calibri" w:cs="Tahoma"/>
          <w:sz w:val="22"/>
          <w:szCs w:val="22"/>
        </w:rPr>
        <w:t>bliskość granicy z Niemcami</w:t>
      </w:r>
      <w:r w:rsidR="00EE439F" w:rsidRPr="00662F03">
        <w:rPr>
          <w:rFonts w:ascii="Calibri" w:hAnsi="Calibri" w:cs="Tahoma"/>
          <w:sz w:val="22"/>
          <w:szCs w:val="22"/>
        </w:rPr>
        <w:t xml:space="preserve"> oraz przebiegające przez Nową Sól ważne szlaki transportowe: drogowe, kolejowe oraz wodne.</w:t>
      </w:r>
    </w:p>
    <w:p w:rsidR="009B7846" w:rsidRPr="00662F03" w:rsidRDefault="00AC314D"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Grunty</w:t>
      </w:r>
      <w:r w:rsidR="00FE74F0" w:rsidRPr="00662F03">
        <w:rPr>
          <w:rFonts w:ascii="Calibri" w:hAnsi="Calibri" w:cs="Tahoma"/>
          <w:sz w:val="22"/>
          <w:szCs w:val="22"/>
        </w:rPr>
        <w:t xml:space="preserve"> </w:t>
      </w:r>
      <w:r w:rsidR="006F57F1" w:rsidRPr="00662F03">
        <w:rPr>
          <w:rFonts w:ascii="Calibri" w:hAnsi="Calibri" w:cs="Tahoma"/>
          <w:sz w:val="22"/>
          <w:szCs w:val="22"/>
        </w:rPr>
        <w:t>komunalne</w:t>
      </w:r>
      <w:r w:rsidR="00FE74F0" w:rsidRPr="00662F03">
        <w:rPr>
          <w:rFonts w:ascii="Calibri" w:hAnsi="Calibri" w:cs="Tahoma"/>
          <w:sz w:val="22"/>
          <w:szCs w:val="22"/>
        </w:rPr>
        <w:t xml:space="preserve"> </w:t>
      </w:r>
      <w:r w:rsidR="006F57F1" w:rsidRPr="00662F03">
        <w:rPr>
          <w:rFonts w:ascii="Calibri" w:hAnsi="Calibri" w:cs="Tahoma"/>
          <w:sz w:val="22"/>
          <w:szCs w:val="22"/>
        </w:rPr>
        <w:t xml:space="preserve">według danych GUS w 2009 r. </w:t>
      </w:r>
      <w:r w:rsidR="00FE74F0" w:rsidRPr="00662F03">
        <w:rPr>
          <w:rFonts w:ascii="Calibri" w:hAnsi="Calibri" w:cs="Tahoma"/>
          <w:sz w:val="22"/>
          <w:szCs w:val="22"/>
        </w:rPr>
        <w:t>stanowi</w:t>
      </w:r>
      <w:r w:rsidR="006F57F1" w:rsidRPr="00662F03">
        <w:rPr>
          <w:rFonts w:ascii="Calibri" w:hAnsi="Calibri" w:cs="Tahoma"/>
          <w:sz w:val="22"/>
          <w:szCs w:val="22"/>
        </w:rPr>
        <w:t>ły</w:t>
      </w:r>
      <w:r w:rsidRPr="00662F03">
        <w:rPr>
          <w:rFonts w:ascii="Calibri" w:hAnsi="Calibri" w:cs="Tahoma"/>
          <w:sz w:val="22"/>
          <w:szCs w:val="22"/>
        </w:rPr>
        <w:t xml:space="preserve"> </w:t>
      </w:r>
      <w:r w:rsidR="001F32EC" w:rsidRPr="00662F03">
        <w:rPr>
          <w:rFonts w:ascii="Calibri" w:hAnsi="Calibri" w:cs="Tahoma"/>
          <w:sz w:val="22"/>
          <w:szCs w:val="22"/>
        </w:rPr>
        <w:t xml:space="preserve">⅓ </w:t>
      </w:r>
      <w:r w:rsidR="00FE74F0" w:rsidRPr="00662F03">
        <w:rPr>
          <w:rFonts w:ascii="Calibri" w:hAnsi="Calibri" w:cs="Tahoma"/>
          <w:sz w:val="22"/>
          <w:szCs w:val="22"/>
        </w:rPr>
        <w:t>całej powierzchni zajmowanej przez miasto (</w:t>
      </w:r>
      <w:r w:rsidRPr="00662F03">
        <w:rPr>
          <w:rFonts w:ascii="Calibri" w:hAnsi="Calibri" w:cs="Tahoma"/>
          <w:sz w:val="22"/>
          <w:szCs w:val="22"/>
        </w:rPr>
        <w:t xml:space="preserve">zasób gruntów </w:t>
      </w:r>
      <w:r w:rsidR="00FE74F0" w:rsidRPr="00662F03">
        <w:rPr>
          <w:rFonts w:ascii="Calibri" w:hAnsi="Calibri" w:cs="Tahoma"/>
          <w:sz w:val="22"/>
          <w:szCs w:val="22"/>
        </w:rPr>
        <w:t>obejmuj</w:t>
      </w:r>
      <w:r w:rsidRPr="00662F03">
        <w:rPr>
          <w:rFonts w:ascii="Calibri" w:hAnsi="Calibri" w:cs="Tahoma"/>
          <w:sz w:val="22"/>
          <w:szCs w:val="22"/>
        </w:rPr>
        <w:t>e</w:t>
      </w:r>
      <w:r w:rsidR="00FE74F0" w:rsidRPr="00662F03">
        <w:rPr>
          <w:rFonts w:ascii="Calibri" w:hAnsi="Calibri" w:cs="Tahoma"/>
          <w:sz w:val="22"/>
          <w:szCs w:val="22"/>
        </w:rPr>
        <w:t xml:space="preserve"> </w:t>
      </w:r>
      <w:r w:rsidR="006F57F1" w:rsidRPr="00662F03">
        <w:rPr>
          <w:rFonts w:ascii="Calibri" w:hAnsi="Calibri" w:cs="Tahoma"/>
          <w:sz w:val="22"/>
          <w:szCs w:val="22"/>
        </w:rPr>
        <w:t>737 ha). Podział według prawnych form użytkowania kształtuje się następująco</w:t>
      </w:r>
      <w:r w:rsidRPr="00662F03">
        <w:rPr>
          <w:rFonts w:ascii="Calibri" w:hAnsi="Calibri" w:cs="Tahoma"/>
          <w:sz w:val="22"/>
          <w:szCs w:val="22"/>
        </w:rPr>
        <w:t>:</w:t>
      </w:r>
    </w:p>
    <w:p w:rsidR="00FE74F0" w:rsidRPr="00662F03" w:rsidRDefault="006F57F1" w:rsidP="00BF24B4">
      <w:pPr>
        <w:pStyle w:val="Akapitzlist"/>
        <w:numPr>
          <w:ilvl w:val="0"/>
          <w:numId w:val="15"/>
        </w:numPr>
        <w:shd w:val="clear" w:color="auto" w:fill="FFFFFF"/>
        <w:spacing w:after="0" w:line="240" w:lineRule="auto"/>
        <w:ind w:left="714" w:hanging="357"/>
        <w:jc w:val="both"/>
        <w:outlineLvl w:val="3"/>
        <w:rPr>
          <w:rFonts w:cs="Tahoma"/>
        </w:rPr>
      </w:pPr>
      <w:r w:rsidRPr="00662F03">
        <w:rPr>
          <w:rFonts w:cs="Tahoma"/>
        </w:rPr>
        <w:t>grunty tworzące gminny zasób nieruchomości (420 ha</w:t>
      </w:r>
      <w:r w:rsidR="00FE74F0" w:rsidRPr="00662F03">
        <w:rPr>
          <w:rFonts w:cs="Tahoma"/>
        </w:rPr>
        <w:t>),</w:t>
      </w:r>
    </w:p>
    <w:p w:rsidR="00FE74F0" w:rsidRPr="00662F03" w:rsidRDefault="006F57F1" w:rsidP="004E11D3">
      <w:pPr>
        <w:pStyle w:val="Akapitzlist"/>
        <w:numPr>
          <w:ilvl w:val="0"/>
          <w:numId w:val="15"/>
        </w:numPr>
        <w:shd w:val="clear" w:color="auto" w:fill="FFFFFF"/>
        <w:spacing w:after="0" w:line="240" w:lineRule="auto"/>
        <w:ind w:left="714" w:hanging="357"/>
        <w:jc w:val="both"/>
        <w:outlineLvl w:val="3"/>
        <w:rPr>
          <w:rFonts w:cs="Tahoma"/>
        </w:rPr>
      </w:pPr>
      <w:r w:rsidRPr="00662F03">
        <w:rPr>
          <w:rFonts w:cs="Tahoma"/>
        </w:rPr>
        <w:t xml:space="preserve">przekazane w trwały zarząd gminnym jednostkom organizacyjnym </w:t>
      </w:r>
      <w:r w:rsidR="00FE74F0" w:rsidRPr="00662F03">
        <w:rPr>
          <w:rFonts w:cs="Tahoma"/>
        </w:rPr>
        <w:t>(5</w:t>
      </w:r>
      <w:r w:rsidRPr="00662F03">
        <w:rPr>
          <w:rFonts w:cs="Tahoma"/>
        </w:rPr>
        <w:t>6</w:t>
      </w:r>
      <w:r w:rsidR="00FE74F0" w:rsidRPr="00662F03">
        <w:rPr>
          <w:rFonts w:cs="Tahoma"/>
        </w:rPr>
        <w:t xml:space="preserve"> ha),</w:t>
      </w:r>
    </w:p>
    <w:p w:rsidR="00FE74F0" w:rsidRPr="00662F03" w:rsidRDefault="006F57F1" w:rsidP="004E11D3">
      <w:pPr>
        <w:pStyle w:val="Akapitzlist"/>
        <w:numPr>
          <w:ilvl w:val="0"/>
          <w:numId w:val="15"/>
        </w:numPr>
        <w:shd w:val="clear" w:color="auto" w:fill="FFFFFF"/>
        <w:spacing w:after="0" w:line="240" w:lineRule="auto"/>
        <w:ind w:left="714" w:hanging="357"/>
        <w:jc w:val="both"/>
        <w:outlineLvl w:val="3"/>
        <w:rPr>
          <w:rFonts w:cs="Tahoma"/>
        </w:rPr>
      </w:pPr>
      <w:r w:rsidRPr="00662F03">
        <w:rPr>
          <w:rFonts w:cs="Tahoma"/>
        </w:rPr>
        <w:t xml:space="preserve">przekazane w użytkowanie wieczyste </w:t>
      </w:r>
      <w:r w:rsidR="00FE74F0" w:rsidRPr="00662F03">
        <w:rPr>
          <w:rFonts w:cs="Tahoma"/>
        </w:rPr>
        <w:t>(</w:t>
      </w:r>
      <w:r w:rsidRPr="00662F03">
        <w:rPr>
          <w:rFonts w:cs="Tahoma"/>
        </w:rPr>
        <w:t>184</w:t>
      </w:r>
      <w:r w:rsidR="00FE74F0" w:rsidRPr="00662F03">
        <w:rPr>
          <w:rFonts w:cs="Tahoma"/>
        </w:rPr>
        <w:t xml:space="preserve"> ha),</w:t>
      </w:r>
    </w:p>
    <w:p w:rsidR="00FE74F0" w:rsidRPr="00662F03" w:rsidRDefault="006F57F1" w:rsidP="004E11D3">
      <w:pPr>
        <w:pStyle w:val="Akapitzlist"/>
        <w:numPr>
          <w:ilvl w:val="0"/>
          <w:numId w:val="15"/>
        </w:numPr>
        <w:shd w:val="clear" w:color="auto" w:fill="FFFFFF"/>
        <w:spacing w:after="0" w:line="240" w:lineRule="auto"/>
        <w:ind w:left="714" w:hanging="357"/>
        <w:jc w:val="both"/>
        <w:outlineLvl w:val="3"/>
        <w:rPr>
          <w:rFonts w:cs="Tahoma"/>
        </w:rPr>
      </w:pPr>
      <w:r w:rsidRPr="00662F03">
        <w:rPr>
          <w:rFonts w:cs="Tahoma"/>
        </w:rPr>
        <w:t xml:space="preserve">przekazane w użytkowanie wieczyste osobom fizycznym </w:t>
      </w:r>
      <w:r w:rsidR="00AC314D" w:rsidRPr="00662F03">
        <w:rPr>
          <w:rFonts w:cs="Tahoma"/>
        </w:rPr>
        <w:t>(</w:t>
      </w:r>
      <w:r w:rsidRPr="00662F03">
        <w:rPr>
          <w:rFonts w:cs="Tahoma"/>
        </w:rPr>
        <w:t>97</w:t>
      </w:r>
      <w:r w:rsidR="00AC314D" w:rsidRPr="00662F03">
        <w:rPr>
          <w:rFonts w:cs="Tahoma"/>
        </w:rPr>
        <w:t xml:space="preserve"> ha),</w:t>
      </w:r>
    </w:p>
    <w:p w:rsidR="00FE74F0" w:rsidRPr="00662F03" w:rsidRDefault="00FE74F0"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 xml:space="preserve">Strukturę użytkowania gruntów miasta, oprócz terenów zabudowy </w:t>
      </w:r>
      <w:r w:rsidR="007A355A" w:rsidRPr="00662F03">
        <w:rPr>
          <w:rFonts w:ascii="Calibri" w:hAnsi="Calibri" w:cs="Tahoma"/>
          <w:sz w:val="22"/>
          <w:szCs w:val="22"/>
        </w:rPr>
        <w:t xml:space="preserve">o </w:t>
      </w:r>
      <w:r w:rsidRPr="00662F03">
        <w:rPr>
          <w:rFonts w:ascii="Calibri" w:hAnsi="Calibri" w:cs="Tahoma"/>
          <w:sz w:val="22"/>
          <w:szCs w:val="22"/>
        </w:rPr>
        <w:t>różnych funkcjach, cechuje znaczący udział terenów otwartych, tj. gruntów rolnych i le</w:t>
      </w:r>
      <w:r w:rsidR="009155D2" w:rsidRPr="00662F03">
        <w:rPr>
          <w:rFonts w:ascii="Calibri" w:hAnsi="Calibri" w:cs="Tahoma"/>
          <w:sz w:val="22"/>
          <w:szCs w:val="22"/>
        </w:rPr>
        <w:t xml:space="preserve">śnych. Łączna ich powierzchnia </w:t>
      </w:r>
      <w:r w:rsidRPr="00662F03">
        <w:rPr>
          <w:rFonts w:ascii="Calibri" w:hAnsi="Calibri" w:cs="Tahoma"/>
          <w:sz w:val="22"/>
          <w:szCs w:val="22"/>
        </w:rPr>
        <w:t>na tle całkowi</w:t>
      </w:r>
      <w:r w:rsidR="009155D2" w:rsidRPr="00662F03">
        <w:rPr>
          <w:rFonts w:ascii="Calibri" w:hAnsi="Calibri" w:cs="Tahoma"/>
          <w:sz w:val="22"/>
          <w:szCs w:val="22"/>
        </w:rPr>
        <w:t>tej powierzchni miasta</w:t>
      </w:r>
      <w:r w:rsidRPr="00662F03">
        <w:rPr>
          <w:rFonts w:ascii="Calibri" w:hAnsi="Calibri" w:cs="Tahoma"/>
          <w:sz w:val="22"/>
          <w:szCs w:val="22"/>
        </w:rPr>
        <w:t>, przedstawia się następująco:</w:t>
      </w:r>
    </w:p>
    <w:p w:rsidR="00FE74F0" w:rsidRPr="00662F03" w:rsidRDefault="00FE74F0" w:rsidP="00BF24B4">
      <w:pPr>
        <w:pStyle w:val="Akapitzlist"/>
        <w:numPr>
          <w:ilvl w:val="0"/>
          <w:numId w:val="16"/>
        </w:numPr>
        <w:shd w:val="clear" w:color="auto" w:fill="FFFFFF"/>
        <w:spacing w:after="0" w:line="240" w:lineRule="auto"/>
        <w:ind w:left="714" w:hanging="357"/>
        <w:jc w:val="both"/>
        <w:outlineLvl w:val="3"/>
        <w:rPr>
          <w:rFonts w:cs="Tahoma"/>
        </w:rPr>
      </w:pPr>
      <w:r w:rsidRPr="00662F03">
        <w:rPr>
          <w:rFonts w:cs="Tahoma"/>
        </w:rPr>
        <w:t xml:space="preserve">użytki rolne </w:t>
      </w:r>
      <w:r w:rsidR="0032596B" w:rsidRPr="00662F03">
        <w:rPr>
          <w:rFonts w:cs="Tahoma"/>
        </w:rPr>
        <w:t>(</w:t>
      </w:r>
      <w:r w:rsidR="005B5943" w:rsidRPr="00662F03">
        <w:rPr>
          <w:rFonts w:cs="Tahoma"/>
        </w:rPr>
        <w:t>39,6%</w:t>
      </w:r>
      <w:r w:rsidR="0032596B" w:rsidRPr="00662F03">
        <w:rPr>
          <w:rFonts w:cs="Tahoma"/>
        </w:rPr>
        <w:t>)</w:t>
      </w:r>
      <w:r w:rsidRPr="00662F03">
        <w:rPr>
          <w:rFonts w:cs="Tahoma"/>
        </w:rPr>
        <w:t>,</w:t>
      </w:r>
    </w:p>
    <w:p w:rsidR="00FE74F0" w:rsidRPr="00662F03" w:rsidRDefault="005B5943" w:rsidP="004E11D3">
      <w:pPr>
        <w:pStyle w:val="Akapitzlist"/>
        <w:numPr>
          <w:ilvl w:val="0"/>
          <w:numId w:val="16"/>
        </w:numPr>
        <w:shd w:val="clear" w:color="auto" w:fill="FFFFFF"/>
        <w:spacing w:after="0" w:line="240" w:lineRule="auto"/>
        <w:ind w:left="714" w:hanging="357"/>
        <w:jc w:val="both"/>
        <w:outlineLvl w:val="3"/>
        <w:rPr>
          <w:rFonts w:cs="Tahoma"/>
        </w:rPr>
      </w:pPr>
      <w:r w:rsidRPr="00662F03">
        <w:rPr>
          <w:rFonts w:cs="Tahoma"/>
        </w:rPr>
        <w:t>pozostałe grunty i nieużytki (45,8%)</w:t>
      </w:r>
    </w:p>
    <w:p w:rsidR="005567C5" w:rsidRPr="00662F03" w:rsidRDefault="00FE74F0" w:rsidP="004E11D3">
      <w:pPr>
        <w:pStyle w:val="Akapitzlist"/>
        <w:numPr>
          <w:ilvl w:val="0"/>
          <w:numId w:val="16"/>
        </w:numPr>
        <w:shd w:val="clear" w:color="auto" w:fill="FFFFFF"/>
        <w:spacing w:after="0" w:line="240" w:lineRule="auto"/>
        <w:ind w:left="714" w:hanging="357"/>
        <w:jc w:val="both"/>
        <w:outlineLvl w:val="3"/>
        <w:rPr>
          <w:rFonts w:cs="Tahoma"/>
        </w:rPr>
      </w:pPr>
      <w:r w:rsidRPr="00662F03">
        <w:rPr>
          <w:rFonts w:cs="Tahoma"/>
        </w:rPr>
        <w:t xml:space="preserve">lasy </w:t>
      </w:r>
      <w:r w:rsidR="005B5943" w:rsidRPr="00662F03">
        <w:rPr>
          <w:rFonts w:cs="Tahoma"/>
        </w:rPr>
        <w:t>i grunty leśne (14,6%)</w:t>
      </w:r>
    </w:p>
    <w:p w:rsidR="00FE74F0" w:rsidRPr="00662F03" w:rsidRDefault="005B5943"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 terenie Nowej Soli dominują tereny określone kategorią „pozostałe”, w skład których wchodzą między innymi: obszary zabudowy mieszkaniowej, tereny przemysłowe, place, ulice, skwery, parki, tereny wodne, nieużytki itp. Jest to charakterystyczne dla gmin o statusie miejskim.</w:t>
      </w:r>
    </w:p>
    <w:p w:rsidR="005F0523" w:rsidRPr="00662F03" w:rsidRDefault="00B56603" w:rsidP="004E5A9A">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 xml:space="preserve">Układ przestrzenny Nowej Soli tworzy szereg elementów, które powstawały w historycznym cyklu rozwojowym miasta. </w:t>
      </w:r>
      <w:r w:rsidR="005F0523" w:rsidRPr="00662F03">
        <w:rPr>
          <w:rFonts w:ascii="Calibri" w:hAnsi="Calibri" w:cs="Tahoma"/>
          <w:sz w:val="22"/>
          <w:szCs w:val="22"/>
        </w:rPr>
        <w:t xml:space="preserve">W strukturze </w:t>
      </w:r>
      <w:r w:rsidR="00EA6052" w:rsidRPr="00662F03">
        <w:rPr>
          <w:rFonts w:ascii="Calibri" w:hAnsi="Calibri" w:cs="Tahoma"/>
          <w:sz w:val="22"/>
          <w:szCs w:val="22"/>
        </w:rPr>
        <w:t xml:space="preserve">funkcjonalno-przestrzennej </w:t>
      </w:r>
      <w:r w:rsidR="005F0523" w:rsidRPr="00662F03">
        <w:rPr>
          <w:rFonts w:ascii="Calibri" w:hAnsi="Calibri" w:cs="Tahoma"/>
          <w:sz w:val="22"/>
          <w:szCs w:val="22"/>
        </w:rPr>
        <w:t>miasta wyróżniają się w szczególności:</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zespół zabudowy śródmiejskiej</w:t>
      </w:r>
      <w:r w:rsidRPr="00662F03">
        <w:rPr>
          <w:rFonts w:ascii="Calibri" w:hAnsi="Calibri" w:cs="Arial"/>
          <w:sz w:val="22"/>
        </w:rPr>
        <w:t xml:space="preserve"> poł</w:t>
      </w:r>
      <w:r w:rsidR="00EA6052" w:rsidRPr="00662F03">
        <w:rPr>
          <w:rFonts w:ascii="Calibri" w:hAnsi="Calibri" w:cs="Arial"/>
          <w:sz w:val="22"/>
        </w:rPr>
        <w:t>ożony w pobliżu portu rzecznego, charakteryzuje</w:t>
      </w:r>
      <w:r w:rsidRPr="00662F03">
        <w:rPr>
          <w:rFonts w:ascii="Calibri" w:hAnsi="Calibri" w:cs="Arial"/>
          <w:sz w:val="22"/>
        </w:rPr>
        <w:t xml:space="preserve"> wysoka i</w:t>
      </w:r>
      <w:r w:rsidR="00EA6052" w:rsidRPr="00662F03">
        <w:rPr>
          <w:rFonts w:ascii="Calibri" w:hAnsi="Calibri" w:cs="Arial"/>
          <w:sz w:val="22"/>
        </w:rPr>
        <w:t>ntensywność zabudowy,</w:t>
      </w:r>
      <w:r w:rsidRPr="00662F03">
        <w:rPr>
          <w:rFonts w:ascii="Calibri" w:hAnsi="Calibri" w:cs="Arial"/>
          <w:sz w:val="22"/>
        </w:rPr>
        <w:t xml:space="preserve"> przeważ</w:t>
      </w:r>
      <w:r w:rsidR="00EA6052" w:rsidRPr="00662F03">
        <w:rPr>
          <w:rFonts w:ascii="Calibri" w:hAnsi="Calibri" w:cs="Arial"/>
          <w:sz w:val="22"/>
        </w:rPr>
        <w:t>nie dziewiętnastowiecznej</w:t>
      </w:r>
      <w:r w:rsidRPr="00662F03">
        <w:rPr>
          <w:rFonts w:ascii="Calibri" w:hAnsi="Calibri" w:cs="Arial"/>
          <w:sz w:val="22"/>
        </w:rPr>
        <w:t>. Zabudowa ta przybiera kształt zabudowanych obrzeżnie, zamkniętych w całości l</w:t>
      </w:r>
      <w:r w:rsidR="003A21E0" w:rsidRPr="00662F03">
        <w:rPr>
          <w:rFonts w:ascii="Calibri" w:hAnsi="Calibri" w:cs="Arial"/>
          <w:sz w:val="22"/>
        </w:rPr>
        <w:t>ub częściowo kwartałów zabudowy.</w:t>
      </w:r>
      <w:r w:rsidRPr="00662F03">
        <w:rPr>
          <w:rFonts w:ascii="Calibri" w:hAnsi="Calibri" w:cs="Arial"/>
          <w:sz w:val="22"/>
        </w:rPr>
        <w:t xml:space="preserve"> </w:t>
      </w:r>
      <w:r w:rsidR="003A21E0" w:rsidRPr="00662F03">
        <w:rPr>
          <w:rFonts w:ascii="Calibri" w:hAnsi="Calibri" w:cs="Arial"/>
          <w:sz w:val="22"/>
        </w:rPr>
        <w:t>Przy części</w:t>
      </w:r>
      <w:r w:rsidRPr="00662F03">
        <w:rPr>
          <w:rFonts w:ascii="Calibri" w:hAnsi="Calibri" w:cs="Arial"/>
          <w:sz w:val="22"/>
        </w:rPr>
        <w:t xml:space="preserve"> ulic (Piłsudskiego, Wyspiańskiego, Dąbrowskiego) </w:t>
      </w:r>
      <w:r w:rsidR="003A21E0" w:rsidRPr="00662F03">
        <w:rPr>
          <w:rFonts w:ascii="Calibri" w:hAnsi="Calibri" w:cs="Arial"/>
          <w:sz w:val="22"/>
        </w:rPr>
        <w:t>zlokalizowane są ciąg</w:t>
      </w:r>
      <w:r w:rsidRPr="00662F03">
        <w:rPr>
          <w:rFonts w:ascii="Calibri" w:hAnsi="Calibri" w:cs="Arial"/>
          <w:sz w:val="22"/>
        </w:rPr>
        <w:t>i zieleni, składają</w:t>
      </w:r>
      <w:r w:rsidR="003A21E0" w:rsidRPr="00662F03">
        <w:rPr>
          <w:rFonts w:ascii="Calibri" w:hAnsi="Calibri" w:cs="Arial"/>
          <w:sz w:val="22"/>
        </w:rPr>
        <w:t>ce</w:t>
      </w:r>
      <w:r w:rsidRPr="00662F03">
        <w:rPr>
          <w:rFonts w:ascii="Calibri" w:hAnsi="Calibri" w:cs="Arial"/>
          <w:sz w:val="22"/>
        </w:rPr>
        <w:t xml:space="preserve"> się na miejski system zieleni, którego podstawowe elementy stanowią zieleńce i parki miejskie;</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rPr>
        <w:t xml:space="preserve">odrębnym w swoim charakterze w skali całego miasta jest </w:t>
      </w:r>
      <w:r w:rsidRPr="00662F03">
        <w:rPr>
          <w:rFonts w:ascii="Calibri" w:hAnsi="Calibri" w:cs="Arial"/>
          <w:sz w:val="22"/>
          <w:u w:val="single"/>
        </w:rPr>
        <w:t>zespół zabudowy portowej z zabudowaniami dawnego browaru i składów soli</w:t>
      </w:r>
      <w:r w:rsidR="003A21E0" w:rsidRPr="00662F03">
        <w:rPr>
          <w:rFonts w:ascii="Calibri" w:hAnsi="Calibri" w:cs="Arial"/>
          <w:sz w:val="22"/>
        </w:rPr>
        <w:t>. Z</w:t>
      </w:r>
      <w:r w:rsidRPr="00662F03">
        <w:rPr>
          <w:rFonts w:ascii="Calibri" w:hAnsi="Calibri" w:cs="Arial"/>
          <w:sz w:val="22"/>
        </w:rPr>
        <w:t xml:space="preserve">abudowa tego obszaru jest w znacznym </w:t>
      </w:r>
      <w:r w:rsidRPr="00662F03">
        <w:rPr>
          <w:rFonts w:ascii="Calibri" w:hAnsi="Calibri" w:cs="Arial"/>
          <w:sz w:val="22"/>
        </w:rPr>
        <w:lastRenderedPageBreak/>
        <w:t>stopniu zdekapitalizowana</w:t>
      </w:r>
      <w:r w:rsidR="003A21E0" w:rsidRPr="00662F03">
        <w:rPr>
          <w:rFonts w:ascii="Calibri" w:hAnsi="Calibri" w:cs="Arial"/>
          <w:sz w:val="22"/>
        </w:rPr>
        <w:t>,</w:t>
      </w:r>
      <w:r w:rsidRPr="00662F03">
        <w:rPr>
          <w:rFonts w:ascii="Calibri" w:hAnsi="Calibri" w:cs="Arial"/>
          <w:sz w:val="22"/>
        </w:rPr>
        <w:t xml:space="preserve"> co sprawia, że atrakcyjny niegdyś obszar miasta pozostaje w tej chwili na uboczu, mimo prób przywrócenia jego roli przez poczynione tam w ostatnim czasie inwestycje;</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tereny zabudowy mieszkalnej i w części produkcyjne</w:t>
      </w:r>
      <w:r w:rsidRPr="00662F03">
        <w:rPr>
          <w:rFonts w:ascii="Calibri" w:hAnsi="Calibri" w:cs="Arial"/>
          <w:sz w:val="22"/>
        </w:rPr>
        <w:t>, położone na p</w:t>
      </w:r>
      <w:r w:rsidR="003A21E0" w:rsidRPr="00662F03">
        <w:rPr>
          <w:rFonts w:ascii="Calibri" w:hAnsi="Calibri" w:cs="Arial"/>
          <w:sz w:val="22"/>
        </w:rPr>
        <w:t>ółnoc od obszaru śródmiejskiego. C</w:t>
      </w:r>
      <w:r w:rsidRPr="00662F03">
        <w:rPr>
          <w:rFonts w:ascii="Calibri" w:hAnsi="Calibri" w:cs="Arial"/>
          <w:sz w:val="22"/>
        </w:rPr>
        <w:t>ha</w:t>
      </w:r>
      <w:r w:rsidR="003A21E0" w:rsidRPr="00662F03">
        <w:rPr>
          <w:rFonts w:ascii="Calibri" w:hAnsi="Calibri" w:cs="Arial"/>
          <w:sz w:val="22"/>
        </w:rPr>
        <w:t>rakteryzują</w:t>
      </w:r>
      <w:r w:rsidRPr="00662F03">
        <w:rPr>
          <w:rFonts w:ascii="Calibri" w:hAnsi="Calibri" w:cs="Arial"/>
          <w:sz w:val="22"/>
        </w:rPr>
        <w:t xml:space="preserve"> się wyraźnie niższą int</w:t>
      </w:r>
      <w:r w:rsidR="003A21E0" w:rsidRPr="00662F03">
        <w:rPr>
          <w:rFonts w:ascii="Calibri" w:hAnsi="Calibri" w:cs="Arial"/>
          <w:sz w:val="22"/>
        </w:rPr>
        <w:t>ensywnością zabudowy, obejmują</w:t>
      </w:r>
      <w:r w:rsidRPr="00662F03">
        <w:rPr>
          <w:rFonts w:ascii="Calibri" w:hAnsi="Calibri" w:cs="Arial"/>
          <w:sz w:val="22"/>
        </w:rPr>
        <w:t xml:space="preserve"> zabudowania dawnych Dolnośląskich Zakładów Odlewniczych „Dozamet” oraz osiedla Pleszówek;</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zespół zabudowy usługowej</w:t>
      </w:r>
      <w:r w:rsidRPr="00662F03">
        <w:rPr>
          <w:rFonts w:ascii="Calibri" w:hAnsi="Calibri" w:cs="Arial"/>
          <w:sz w:val="22"/>
        </w:rPr>
        <w:t>, baz i składów wraz z towarzyszącą zabudową mieszkalną, położony na południu miasta;</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tereny zabudowy mieszkaniowej wysokiej intensywności osiedli</w:t>
      </w:r>
      <w:r w:rsidRPr="00662F03">
        <w:rPr>
          <w:rFonts w:ascii="Calibri" w:hAnsi="Calibri" w:cs="Arial"/>
          <w:sz w:val="22"/>
        </w:rPr>
        <w:t>, Konstytucji 3 Maja, XXX-lecia, Armii Krajowej;</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wielkoprzestrzenna dolina Odry</w:t>
      </w:r>
      <w:r w:rsidRPr="00662F03">
        <w:rPr>
          <w:rFonts w:ascii="Calibri" w:hAnsi="Calibri" w:cs="Arial"/>
          <w:sz w:val="22"/>
        </w:rPr>
        <w:t>, rozszerzająca się wyraźnie na południe i północ od terenów śródmiejskich</w:t>
      </w:r>
      <w:r w:rsidR="003A21E0" w:rsidRPr="00662F03">
        <w:rPr>
          <w:rFonts w:ascii="Calibri" w:hAnsi="Calibri" w:cs="Arial"/>
          <w:sz w:val="22"/>
        </w:rPr>
        <w:t>,</w:t>
      </w:r>
      <w:r w:rsidRPr="00662F03">
        <w:rPr>
          <w:rFonts w:ascii="Calibri" w:hAnsi="Calibri" w:cs="Arial"/>
          <w:sz w:val="22"/>
        </w:rPr>
        <w:t xml:space="preserve"> z charakterystycznym przewężeniem w rejonie zakola obok portu rzecznego;</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otwarte tereny</w:t>
      </w:r>
      <w:r w:rsidRPr="00662F03">
        <w:rPr>
          <w:rFonts w:ascii="Calibri" w:hAnsi="Calibri" w:cs="Arial"/>
          <w:sz w:val="22"/>
        </w:rPr>
        <w:t xml:space="preserve"> otoczenia obszaru zabudowanego miasta</w:t>
      </w:r>
      <w:r w:rsidR="003A21E0" w:rsidRPr="00662F03">
        <w:rPr>
          <w:rFonts w:ascii="Calibri" w:hAnsi="Calibri" w:cs="Arial"/>
          <w:sz w:val="22"/>
        </w:rPr>
        <w:t>,</w:t>
      </w:r>
      <w:r w:rsidRPr="00662F03">
        <w:rPr>
          <w:rFonts w:ascii="Calibri" w:hAnsi="Calibri" w:cs="Arial"/>
          <w:sz w:val="22"/>
        </w:rPr>
        <w:t xml:space="preserve"> z dominującym udziałem upraw polowych i użytków zielonych, położone na północny zachód, zachód i północ od obszaru śródmiejskiego,</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tereny rozwoju funkcji produkcyjno-usługowej</w:t>
      </w:r>
      <w:r w:rsidRPr="00662F03">
        <w:rPr>
          <w:rFonts w:ascii="Calibri" w:hAnsi="Calibri" w:cs="Arial"/>
          <w:sz w:val="22"/>
        </w:rPr>
        <w:t xml:space="preserve"> – strefa przemysłowa w północnej części miasta, częściowo zainwestowana o bardzo dobrych uwarunkowaniach komunikacyjnych i infrastrukturalnych,</w:t>
      </w:r>
    </w:p>
    <w:p w:rsidR="00D5352D" w:rsidRPr="00662F03" w:rsidRDefault="00D5352D" w:rsidP="002A1E86">
      <w:pPr>
        <w:pStyle w:val="Tekstpodstawowy"/>
        <w:numPr>
          <w:ilvl w:val="0"/>
          <w:numId w:val="2"/>
        </w:numPr>
        <w:spacing w:line="240" w:lineRule="auto"/>
        <w:rPr>
          <w:rFonts w:ascii="Calibri" w:hAnsi="Calibri" w:cs="Arial"/>
          <w:sz w:val="22"/>
        </w:rPr>
      </w:pPr>
      <w:r w:rsidRPr="00662F03">
        <w:rPr>
          <w:rFonts w:ascii="Calibri" w:hAnsi="Calibri" w:cs="Arial"/>
          <w:sz w:val="22"/>
          <w:u w:val="single"/>
        </w:rPr>
        <w:t xml:space="preserve">tereny oferty inwestycyjnej wielofunkcyjnej </w:t>
      </w:r>
      <w:r w:rsidRPr="00662F03">
        <w:rPr>
          <w:rFonts w:ascii="Calibri" w:hAnsi="Calibri" w:cs="Arial"/>
          <w:sz w:val="22"/>
        </w:rPr>
        <w:t>w południowo-zachodniej części miasta.</w:t>
      </w:r>
    </w:p>
    <w:p w:rsidR="006F57F1" w:rsidRPr="00662F03" w:rsidRDefault="006F57F1"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Obowiązujące miejscowe plany zagospodarowania przestrzennego (na podst. ustawy z 7 lipca 1994r. oraz ustawy z 27 marca 2003 r.) w 2009 r. obejmowały powierzchnię 770 ha (25 planów).</w:t>
      </w:r>
    </w:p>
    <w:p w:rsidR="00A15F8F" w:rsidRPr="00662F03" w:rsidRDefault="002F11B0" w:rsidP="00A15F8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Podstrefa Nowa Sól (Kostrzyńsko-Słubicka Specjalna Strefa Ekonomiczna)</w:t>
      </w:r>
      <w:r w:rsidR="00A15F8F" w:rsidRPr="00662F03">
        <w:rPr>
          <w:rFonts w:ascii="Calibri" w:hAnsi="Calibri" w:cs="Tahoma"/>
          <w:bCs/>
          <w:sz w:val="22"/>
          <w:szCs w:val="22"/>
        </w:rPr>
        <w:t xml:space="preserve"> się zapełnia, coraz większą uwagę samorząd będzie musiał zwracać na inne tereny, które potencjalnie mogą zostać wskazane pod inwestycje. We zachodniej części miasta przy S3 funkcjonuje teren pod usługi objęty planem zagospodarowania przestrzennego. Także duże tereny inwestycyjne są dostępne w zachodnio-południowej części miasta, które będą skomunikowane budowaną obwodnicą. Ograniczenia inwestycyjne występują w południowo-wschodniej części miasta ze względu na istnienie tam terenów zalewowych. Tereny zachodnie, w których gmina posiada duże zasoby są wskazywane pod budownictwo mieszkaniowe.</w:t>
      </w:r>
    </w:p>
    <w:p w:rsidR="002F11B0" w:rsidRPr="00662F03" w:rsidRDefault="002F11B0" w:rsidP="002F11B0">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 xml:space="preserve">Na terenie miasta funkcjonuje dużo terenów poprzemysłowych (m.in. </w:t>
      </w:r>
      <w:r w:rsidRPr="00662F03">
        <w:rPr>
          <w:rFonts w:ascii="Calibri" w:hAnsi="Calibri" w:cs="Tahoma"/>
          <w:sz w:val="22"/>
          <w:szCs w:val="22"/>
        </w:rPr>
        <w:t>po byłym zakładzie Nowosolskiej Fabryki Nici „Odra”</w:t>
      </w:r>
      <w:r w:rsidRPr="00662F03">
        <w:rPr>
          <w:rFonts w:ascii="Calibri" w:hAnsi="Calibri" w:cs="Tahoma"/>
          <w:bCs/>
          <w:sz w:val="22"/>
          <w:szCs w:val="22"/>
        </w:rPr>
        <w:t>), szczególnie te funkcjonujące w centrum miasta będą podlegać zmianie funkcji, a funkcje przemysłowe, które nadal w centrum istnieją, w miarę możliwości będą przenoszone na obrzeża inwestycyjne miasta.</w:t>
      </w:r>
    </w:p>
    <w:p w:rsidR="00A367DE" w:rsidRPr="00662F03" w:rsidRDefault="00A367DE" w:rsidP="00A367DE">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Na terenie miasta wyznaczane są obszary pod lokalizację sklepów wielkopowierzchniowych, w tym m.in. na zachodnich terenach oraz 2 umiejscowione w centrum. Miasto posiada grunty pod inwestycje, co pozwala mu prowadzić aktywną politykę w zakresie poszukiwania inwestorów. Najważniejsze obszary to południowo-zachodnia stefa miasta - około 50 ha pod produkcję i usługi, północno-zachodnia – około 12 ha pod handel i usługi, północna – około 10 ha pod produkcję i usługi około produkcyjne. W południowo-zachodniej strefie miasto posiada około 20 ha pod budownictwo mieszkaniowe.</w:t>
      </w:r>
    </w:p>
    <w:p w:rsidR="004717D3" w:rsidRPr="00662F03" w:rsidRDefault="004717D3" w:rsidP="00A367DE">
      <w:pPr>
        <w:shd w:val="clear" w:color="auto" w:fill="FFFFFF"/>
        <w:spacing w:before="150" w:after="75"/>
        <w:jc w:val="both"/>
        <w:outlineLvl w:val="3"/>
        <w:rPr>
          <w:rFonts w:ascii="Calibri" w:hAnsi="Calibri" w:cs="Tahoma"/>
          <w:bCs/>
          <w:sz w:val="22"/>
          <w:szCs w:val="22"/>
        </w:rPr>
      </w:pPr>
    </w:p>
    <w:p w:rsidR="004717D3" w:rsidRPr="00662F03" w:rsidRDefault="005433B6" w:rsidP="00A367DE">
      <w:pPr>
        <w:shd w:val="clear" w:color="auto" w:fill="FFFFFF"/>
        <w:spacing w:before="150" w:after="75"/>
        <w:jc w:val="both"/>
        <w:outlineLvl w:val="3"/>
        <w:rPr>
          <w:rFonts w:ascii="Calibri" w:hAnsi="Calibri"/>
        </w:rPr>
      </w:pPr>
      <w:r>
        <w:rPr>
          <w:rFonts w:ascii="Calibri" w:hAnsi="Calibri"/>
        </w:rPr>
      </w:r>
      <w:r w:rsidR="00072369">
        <w:rPr>
          <w:rFonts w:ascii="Calibri" w:hAnsi="Calibri"/>
        </w:rPr>
        <w:pict>
          <v:roundrect id="_x0000_s1031"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31;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211558" w:rsidRPr="004E11D3" w:rsidRDefault="00211558" w:rsidP="00211558">
      <w:pPr>
        <w:shd w:val="clear" w:color="auto" w:fill="FFFFFF"/>
        <w:spacing w:before="150" w:after="75"/>
        <w:jc w:val="both"/>
        <w:outlineLvl w:val="3"/>
        <w:rPr>
          <w:rFonts w:ascii="Calibri" w:hAnsi="Calibri" w:cs="Tahoma"/>
          <w:shadow/>
          <w:color w:val="808080"/>
          <w:sz w:val="22"/>
        </w:rPr>
      </w:pPr>
      <w:r w:rsidRPr="004E11D3">
        <w:rPr>
          <w:rFonts w:ascii="Calibri" w:hAnsi="Calibri" w:cs="Tahoma"/>
          <w:shadow/>
          <w:color w:val="808080"/>
          <w:sz w:val="22"/>
        </w:rPr>
        <w:t xml:space="preserve">Mieszkańcy miasta twierdzą, że jest ono ładne, panuje tu ogólny ład przestrzenny, budynki są zadbane i mają wartościową estetykę. Tego zdania jest 89% (ocena ważona) mieszkańców. Mniej o tym są przekonani mężczyźni niż kobiety. Również w grupie osób z wyższym wykształceniem oraz </w:t>
      </w:r>
      <w:r w:rsidRPr="004E11D3">
        <w:rPr>
          <w:rFonts w:ascii="Calibri" w:hAnsi="Calibri" w:cs="Tahoma"/>
          <w:shadow/>
          <w:color w:val="808080"/>
          <w:sz w:val="22"/>
        </w:rPr>
        <w:lastRenderedPageBreak/>
        <w:t xml:space="preserve">mieszkańców w wieku 30-39 jest mniej przekonanych, że tak jest, choć należy zaznaczyć, że w żadnej grupie nie odnotowano odmiennego zdania niż większości. Estetyka miasta jest ważniejsza dla kobiet niż mężczyzn, także dla osób z wyższym wykształceniem oraz dla osób starszych. </w:t>
      </w:r>
    </w:p>
    <w:p w:rsidR="00211558" w:rsidRPr="004E11D3" w:rsidRDefault="00211558" w:rsidP="00211558">
      <w:pPr>
        <w:shd w:val="clear" w:color="auto" w:fill="FFFFFF"/>
        <w:spacing w:before="150" w:after="75"/>
        <w:jc w:val="both"/>
        <w:outlineLvl w:val="3"/>
        <w:rPr>
          <w:rFonts w:ascii="Calibri" w:hAnsi="Calibri" w:cs="Tahoma"/>
          <w:shadow/>
          <w:color w:val="808080"/>
          <w:sz w:val="22"/>
        </w:rPr>
      </w:pPr>
      <w:r w:rsidRPr="004E11D3">
        <w:rPr>
          <w:rFonts w:ascii="Calibri" w:hAnsi="Calibri" w:cs="Tahoma"/>
          <w:b/>
          <w:shadow/>
          <w:color w:val="808080"/>
          <w:sz w:val="22"/>
        </w:rPr>
        <w:t>Wnioski:</w:t>
      </w:r>
      <w:r w:rsidRPr="004E11D3">
        <w:rPr>
          <w:rFonts w:ascii="Calibri" w:hAnsi="Calibri" w:cs="Tahoma"/>
          <w:shadow/>
          <w:color w:val="808080"/>
          <w:sz w:val="22"/>
        </w:rPr>
        <w:t xml:space="preserve"> Estetyka miasta jest uważana przez mieszkańców za jego mocną stronę. Jest to też bardzo ważny czynnik atrakcyjności miasta jako miejsca zamieszkania, a zatem w ramach planowania strategicznego powinno się dążyć do wykorzystania szansy związanej z tą sferą życia miasta.</w:t>
      </w:r>
    </w:p>
    <w:p w:rsidR="00211558" w:rsidRPr="006A1A22" w:rsidRDefault="00AA21BF" w:rsidP="00916895">
      <w:pPr>
        <w:shd w:val="clear" w:color="auto" w:fill="FFFFFF"/>
        <w:spacing w:before="150" w:after="75"/>
        <w:jc w:val="both"/>
        <w:outlineLvl w:val="3"/>
        <w:rPr>
          <w:rFonts w:ascii="Calibri" w:hAnsi="Calibri" w:cs="Tahoma"/>
          <w:shadow/>
          <w:color w:val="808080"/>
          <w:sz w:val="16"/>
        </w:rPr>
      </w:pPr>
      <w:bookmarkStart w:id="88" w:name="_Toc315790530"/>
      <w:r w:rsidRPr="006A1A22">
        <w:rPr>
          <w:rFonts w:ascii="Calibri" w:hAnsi="Calibri"/>
          <w:sz w:val="18"/>
        </w:rPr>
        <w:t xml:space="preserve">Wykres </w:t>
      </w:r>
      <w:r w:rsidR="005433B6" w:rsidRPr="006A1A22">
        <w:rPr>
          <w:rFonts w:ascii="Calibri" w:hAnsi="Calibri"/>
          <w:sz w:val="18"/>
        </w:rPr>
        <w:fldChar w:fldCharType="begin"/>
      </w:r>
      <w:r w:rsidRPr="006A1A22">
        <w:rPr>
          <w:rFonts w:ascii="Calibri" w:hAnsi="Calibri"/>
          <w:sz w:val="18"/>
        </w:rPr>
        <w:instrText xml:space="preserve"> SEQ Wykres \* ARABIC </w:instrText>
      </w:r>
      <w:r w:rsidR="005433B6" w:rsidRPr="006A1A22">
        <w:rPr>
          <w:rFonts w:ascii="Calibri" w:hAnsi="Calibri"/>
          <w:sz w:val="18"/>
        </w:rPr>
        <w:fldChar w:fldCharType="separate"/>
      </w:r>
      <w:r w:rsidR="00D377D1" w:rsidRPr="006A1A22">
        <w:rPr>
          <w:rFonts w:ascii="Calibri" w:hAnsi="Calibri"/>
          <w:noProof/>
          <w:sz w:val="18"/>
        </w:rPr>
        <w:t>61</w:t>
      </w:r>
      <w:r w:rsidR="005433B6" w:rsidRPr="006A1A22">
        <w:rPr>
          <w:rFonts w:ascii="Calibri" w:hAnsi="Calibri"/>
          <w:sz w:val="18"/>
        </w:rPr>
        <w:fldChar w:fldCharType="end"/>
      </w:r>
      <w:r w:rsidRPr="006A1A22">
        <w:rPr>
          <w:rFonts w:ascii="Calibri" w:hAnsi="Calibri"/>
          <w:sz w:val="18"/>
        </w:rPr>
        <w:t>.</w:t>
      </w:r>
      <w:r w:rsidR="006A1A22" w:rsidRPr="006A1A22">
        <w:rPr>
          <w:sz w:val="20"/>
        </w:rPr>
        <w:t xml:space="preserve"> </w:t>
      </w:r>
      <w:r w:rsidR="006A1A22" w:rsidRPr="006A1A22">
        <w:rPr>
          <w:rFonts w:ascii="Calibri" w:hAnsi="Calibri"/>
          <w:sz w:val="18"/>
        </w:rPr>
        <w:t>Rozkład odpowiedzi na pytanie, czy mieszkańcy zgadzają się z twierdzeniem, że w mieście jest ładnie, panuje tu ogólny ład przestrzenny, budynki są zadbane i mają wartościową estetykę</w:t>
      </w:r>
      <w:bookmarkEnd w:id="88"/>
    </w:p>
    <w:p w:rsidR="00211558" w:rsidRPr="00662F03" w:rsidRDefault="005B1628" w:rsidP="004E11D3">
      <w:pPr>
        <w:jc w:val="center"/>
        <w:rPr>
          <w:rFonts w:ascii="Calibri" w:hAnsi="Calibri"/>
        </w:rPr>
      </w:pPr>
      <w:r>
        <w:rPr>
          <w:rFonts w:ascii="Calibri" w:hAnsi="Calibri"/>
          <w:noProof/>
        </w:rPr>
        <w:drawing>
          <wp:inline distT="0" distB="0" distL="0" distR="0">
            <wp:extent cx="4806693" cy="2991833"/>
            <wp:effectExtent l="19050" t="0" r="12957" b="0"/>
            <wp:docPr id="86"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AA21BF" w:rsidRPr="006A1A22" w:rsidRDefault="00AA21BF" w:rsidP="006A1A22">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AA21BF" w:rsidRPr="006A1A22" w:rsidRDefault="00AA21BF" w:rsidP="006A1A22">
      <w:pPr>
        <w:jc w:val="both"/>
        <w:rPr>
          <w:rFonts w:ascii="Calibri" w:hAnsi="Calibri"/>
          <w:sz w:val="18"/>
        </w:rPr>
      </w:pPr>
    </w:p>
    <w:p w:rsidR="00AA21BF" w:rsidRPr="006A1A22" w:rsidRDefault="00AA21BF" w:rsidP="006A1A22">
      <w:pPr>
        <w:pStyle w:val="Legenda"/>
        <w:jc w:val="both"/>
        <w:rPr>
          <w:rFonts w:ascii="Calibri" w:hAnsi="Calibri"/>
          <w:b w:val="0"/>
          <w:sz w:val="18"/>
        </w:rPr>
      </w:pPr>
      <w:bookmarkStart w:id="89" w:name="_Toc315790531"/>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62</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estetyka miasta ma znaczenie w atrakcyjności miasta jako miejsca zamieszkania.</w:t>
      </w:r>
      <w:bookmarkEnd w:id="89"/>
    </w:p>
    <w:p w:rsidR="00211558" w:rsidRPr="00662F03" w:rsidRDefault="005B1628" w:rsidP="004E11D3">
      <w:pPr>
        <w:jc w:val="center"/>
        <w:rPr>
          <w:rFonts w:ascii="Calibri" w:hAnsi="Calibri"/>
        </w:rPr>
      </w:pPr>
      <w:r>
        <w:rPr>
          <w:rFonts w:ascii="Calibri" w:hAnsi="Calibri"/>
          <w:noProof/>
        </w:rPr>
        <w:drawing>
          <wp:inline distT="0" distB="0" distL="0" distR="0">
            <wp:extent cx="4700260" cy="3034029"/>
            <wp:effectExtent l="19050" t="0" r="24140" b="0"/>
            <wp:docPr id="87"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211558" w:rsidRPr="00295383" w:rsidRDefault="00211558" w:rsidP="00211558">
      <w:pPr>
        <w:jc w:val="both"/>
        <w:rPr>
          <w:rFonts w:ascii="Calibri" w:hAnsi="Calibri"/>
          <w:sz w:val="20"/>
        </w:rPr>
      </w:pPr>
    </w:p>
    <w:p w:rsidR="00DA2E76" w:rsidRPr="00662F03" w:rsidRDefault="005433B6"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sidR="00D24064">
        <w:rPr>
          <w:rFonts w:ascii="Calibri" w:hAnsi="Calibri" w:cs="Tahoma"/>
          <w:sz w:val="22"/>
          <w:szCs w:val="22"/>
        </w:rPr>
        <w:pict>
          <v:rect id="_x0000_s1030"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30;mso-fit-shape-to-text:t" inset="28.8pt,7.2pt,14.4pt,28.8pt">
              <w:txbxContent>
                <w:p w:rsidR="00D24064" w:rsidRPr="00EC0E96" w:rsidRDefault="00D24064" w:rsidP="0003372A">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03372A">
                  <w:pPr>
                    <w:jc w:val="both"/>
                    <w:rPr>
                      <w:rFonts w:ascii="Calibri" w:hAnsi="Calibri"/>
                      <w:i/>
                      <w:iCs/>
                      <w:color w:val="1F497D"/>
                      <w:sz w:val="22"/>
                      <w:szCs w:val="28"/>
                    </w:rPr>
                  </w:pPr>
                  <w:r w:rsidRPr="00EC0E96">
                    <w:rPr>
                      <w:rFonts w:ascii="Calibri" w:hAnsi="Calibri"/>
                      <w:i/>
                      <w:iCs/>
                      <w:color w:val="1F497D"/>
                      <w:sz w:val="22"/>
                      <w:szCs w:val="28"/>
                    </w:rPr>
                    <w:t>Ze względu na duże zróżnicowanie funkcjonalne przestrzeni miasta należy zadbać o właściwe zagospodarowanie osiedli.</w:t>
                  </w:r>
                </w:p>
                <w:p w:rsidR="00D24064" w:rsidRDefault="00D24064" w:rsidP="0003372A">
                  <w:pPr>
                    <w:jc w:val="both"/>
                    <w:rPr>
                      <w:rFonts w:ascii="Calibri" w:hAnsi="Calibri"/>
                      <w:i/>
                      <w:iCs/>
                      <w:color w:val="1F497D"/>
                      <w:sz w:val="22"/>
                      <w:szCs w:val="28"/>
                    </w:rPr>
                  </w:pPr>
                  <w:r w:rsidRPr="00EC0E96">
                    <w:rPr>
                      <w:rFonts w:ascii="Calibri" w:hAnsi="Calibri"/>
                      <w:i/>
                      <w:iCs/>
                      <w:color w:val="1F497D"/>
                      <w:sz w:val="22"/>
                      <w:szCs w:val="28"/>
                    </w:rPr>
                    <w:t>Nowa Sól powinna intensyfikować działania na rzecz podniesienia atrakcyjności przestrzeni publicznych (w tym zwłaszcza w centrum miasta) poprzez stworzenie warunków dla rozwoju usług centro twórczych.</w:t>
                  </w:r>
                </w:p>
                <w:p w:rsidR="00D24064" w:rsidRPr="00EC0E96" w:rsidRDefault="00D24064" w:rsidP="0003372A">
                  <w:pPr>
                    <w:jc w:val="both"/>
                    <w:rPr>
                      <w:rFonts w:ascii="Calibri" w:hAnsi="Calibri"/>
                      <w:i/>
                      <w:iCs/>
                      <w:color w:val="1F497D"/>
                      <w:sz w:val="22"/>
                      <w:szCs w:val="28"/>
                    </w:rPr>
                  </w:pPr>
                  <w:r>
                    <w:rPr>
                      <w:rFonts w:ascii="Calibri" w:hAnsi="Calibri"/>
                      <w:i/>
                      <w:iCs/>
                      <w:color w:val="1F497D"/>
                      <w:sz w:val="22"/>
                      <w:szCs w:val="28"/>
                    </w:rPr>
                    <w:t>W mieście istnieje wiele niewykorzystanych, niezagospodarowanych terenów poprzemysłowych, które wymagają rewitalizacji i zmiany funkcji.</w:t>
                  </w:r>
                </w:p>
              </w:txbxContent>
            </v:textbox>
            <w10:wrap type="none" anchorx="margin" anchory="page"/>
            <w10:anchorlock/>
          </v:rect>
        </w:pict>
      </w:r>
    </w:p>
    <w:p w:rsidR="00AA21BF" w:rsidRDefault="00AA21BF" w:rsidP="00295383">
      <w:pPr>
        <w:shd w:val="clear" w:color="auto" w:fill="FFFFFF"/>
        <w:jc w:val="both"/>
        <w:outlineLvl w:val="3"/>
        <w:rPr>
          <w:rFonts w:ascii="Calibri" w:hAnsi="Calibri" w:cs="Tahoma"/>
          <w:sz w:val="20"/>
          <w:szCs w:val="22"/>
        </w:rPr>
      </w:pPr>
    </w:p>
    <w:p w:rsidR="006D4975" w:rsidRDefault="006D4975" w:rsidP="00295383">
      <w:pPr>
        <w:shd w:val="clear" w:color="auto" w:fill="FFFFFF"/>
        <w:jc w:val="both"/>
        <w:outlineLvl w:val="3"/>
        <w:rPr>
          <w:rFonts w:ascii="Calibri" w:hAnsi="Calibri" w:cs="Tahoma"/>
          <w:sz w:val="20"/>
          <w:szCs w:val="22"/>
        </w:rPr>
      </w:pPr>
    </w:p>
    <w:p w:rsidR="006D4975" w:rsidRPr="00662F03" w:rsidRDefault="006D4975" w:rsidP="006D4975">
      <w:pPr>
        <w:pStyle w:val="Nagwek1"/>
        <w:numPr>
          <w:ilvl w:val="0"/>
          <w:numId w:val="1"/>
        </w:numPr>
        <w:jc w:val="both"/>
        <w:rPr>
          <w:rFonts w:ascii="Calibri" w:hAnsi="Calibri"/>
          <w:color w:val="17365D"/>
          <w:sz w:val="24"/>
        </w:rPr>
      </w:pPr>
      <w:bookmarkStart w:id="90" w:name="_Toc316395269"/>
      <w:r w:rsidRPr="00662F03">
        <w:rPr>
          <w:rFonts w:ascii="Calibri" w:hAnsi="Calibri"/>
          <w:color w:val="17365D"/>
          <w:sz w:val="24"/>
        </w:rPr>
        <w:t xml:space="preserve">Analiza dokumentów sprawozdawczych, przedstawianych </w:t>
      </w:r>
      <w:r>
        <w:rPr>
          <w:rFonts w:ascii="Calibri" w:hAnsi="Calibri"/>
          <w:color w:val="17365D"/>
          <w:sz w:val="24"/>
        </w:rPr>
        <w:t>R</w:t>
      </w:r>
      <w:r w:rsidRPr="00662F03">
        <w:rPr>
          <w:rFonts w:ascii="Calibri" w:hAnsi="Calibri"/>
          <w:color w:val="17365D"/>
          <w:sz w:val="24"/>
        </w:rPr>
        <w:t xml:space="preserve">adzie </w:t>
      </w:r>
      <w:r>
        <w:rPr>
          <w:rFonts w:ascii="Calibri" w:hAnsi="Calibri"/>
          <w:color w:val="17365D"/>
          <w:sz w:val="24"/>
        </w:rPr>
        <w:t>Miejskiej</w:t>
      </w:r>
      <w:r w:rsidRPr="00662F03">
        <w:rPr>
          <w:rFonts w:ascii="Calibri" w:hAnsi="Calibri"/>
          <w:color w:val="17365D"/>
          <w:sz w:val="24"/>
        </w:rPr>
        <w:t>, w tym m.in. z wykonanych prac inwestycyjnych, z wykonania budżetu</w:t>
      </w:r>
      <w:bookmarkEnd w:id="90"/>
    </w:p>
    <w:p w:rsidR="006D4975" w:rsidRPr="00662F03" w:rsidRDefault="006D4975" w:rsidP="006D4975">
      <w:pPr>
        <w:shd w:val="clear" w:color="auto" w:fill="FFFFFF"/>
        <w:spacing w:before="150"/>
        <w:jc w:val="both"/>
        <w:outlineLvl w:val="3"/>
        <w:rPr>
          <w:rFonts w:ascii="Calibri" w:hAnsi="Calibri" w:cs="Tahoma"/>
          <w:b/>
          <w:i/>
          <w:color w:val="365F91"/>
          <w:sz w:val="22"/>
          <w:szCs w:val="22"/>
        </w:rPr>
      </w:pPr>
      <w:r w:rsidRPr="00662F03">
        <w:rPr>
          <w:rFonts w:ascii="Calibri" w:hAnsi="Calibri" w:cs="Tahoma"/>
          <w:b/>
          <w:i/>
          <w:color w:val="365F91"/>
          <w:sz w:val="22"/>
          <w:szCs w:val="22"/>
        </w:rPr>
        <w:t>Wykonanie budżetu Gminy Nowa Sól - Miasto za 2010 rok</w:t>
      </w:r>
    </w:p>
    <w:p w:rsidR="006D4975" w:rsidRPr="00662F03" w:rsidRDefault="006D4975" w:rsidP="006D4975">
      <w:pPr>
        <w:shd w:val="clear" w:color="auto" w:fill="FFFFFF"/>
        <w:jc w:val="both"/>
        <w:outlineLvl w:val="3"/>
        <w:rPr>
          <w:rFonts w:ascii="Calibri" w:hAnsi="Calibri" w:cs="Tahoma"/>
          <w:sz w:val="22"/>
          <w:szCs w:val="22"/>
        </w:rPr>
      </w:pPr>
      <w:r w:rsidRPr="00662F03">
        <w:rPr>
          <w:rFonts w:ascii="Calibri" w:hAnsi="Calibri" w:cs="Tahoma"/>
          <w:sz w:val="22"/>
          <w:szCs w:val="22"/>
        </w:rPr>
        <w:t>Budżet Gminy Nowa Sól-Miasto na rok 2010 został przyjęty uchwałą Nr LVI/341/09 Rady Miejskiej w Nowej Soli z dnia 30 grudnia 2009 r. Budżet za rok 2010 w stosunku do planu został wykonany po stronie dochodów budżetowych w 98,2%, a po stronie wydatków budżetowych w 95%. Wynik pomiędzy wykonanymi dochodami, a wykonanymi wydatkami za rok 2010 wyniósł 21 753 271 zł i stanowi deficyt budżetu (niższy od planowanego o 18%).</w:t>
      </w:r>
    </w:p>
    <w:p w:rsidR="006D4975" w:rsidRPr="00662F03" w:rsidRDefault="006D4975" w:rsidP="006D4975">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Gmina Nowa Sól-Miasto w 2010 roku otrzymała z budżetów jednostek samorządu terytorialnego dotacje w kwocie 155 255,45</w:t>
      </w:r>
      <w:r>
        <w:rPr>
          <w:rFonts w:ascii="Calibri" w:hAnsi="Calibri" w:cs="Tahoma"/>
          <w:sz w:val="22"/>
          <w:szCs w:val="22"/>
        </w:rPr>
        <w:t xml:space="preserve"> zł</w:t>
      </w:r>
      <w:r w:rsidRPr="00662F03">
        <w:rPr>
          <w:rFonts w:ascii="Calibri" w:hAnsi="Calibri" w:cs="Tahoma"/>
          <w:sz w:val="22"/>
          <w:szCs w:val="22"/>
        </w:rPr>
        <w:t>, natomiast udzieliła innym jednostkom samorządu terytorialnego dotacji w kwocie 273 000 zł.</w:t>
      </w:r>
    </w:p>
    <w:p w:rsidR="006D4975" w:rsidRPr="00662F03" w:rsidRDefault="006D4975" w:rsidP="006D4975">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Kwota zobowiązań wymagalnych w</w:t>
      </w:r>
      <w:r>
        <w:rPr>
          <w:rFonts w:ascii="Calibri" w:hAnsi="Calibri" w:cs="Tahoma"/>
          <w:sz w:val="22"/>
          <w:szCs w:val="22"/>
        </w:rPr>
        <w:t>edług</w:t>
      </w:r>
      <w:r w:rsidRPr="00662F03">
        <w:rPr>
          <w:rFonts w:ascii="Calibri" w:hAnsi="Calibri" w:cs="Tahoma"/>
          <w:sz w:val="22"/>
          <w:szCs w:val="22"/>
        </w:rPr>
        <w:t xml:space="preserve"> stanu na dzień 31.12.2010 roku wynosi 1 270 991 zł.</w:t>
      </w:r>
    </w:p>
    <w:p w:rsidR="006D4975" w:rsidRPr="00662F03" w:rsidRDefault="006D4975" w:rsidP="006D4975">
      <w:pPr>
        <w:shd w:val="clear" w:color="auto" w:fill="FFFFFF"/>
        <w:spacing w:before="150"/>
        <w:jc w:val="both"/>
        <w:outlineLvl w:val="3"/>
        <w:rPr>
          <w:rFonts w:ascii="Calibri" w:hAnsi="Calibri" w:cs="Tahoma"/>
          <w:b/>
          <w:i/>
          <w:color w:val="365F91"/>
          <w:sz w:val="22"/>
          <w:szCs w:val="22"/>
        </w:rPr>
      </w:pPr>
      <w:r w:rsidRPr="00662F03">
        <w:rPr>
          <w:rFonts w:ascii="Calibri" w:hAnsi="Calibri" w:cs="Tahoma"/>
          <w:b/>
          <w:i/>
          <w:color w:val="365F91"/>
          <w:sz w:val="22"/>
          <w:szCs w:val="22"/>
        </w:rPr>
        <w:t>Sprawozdanie z realizacji „Programu współpracy Gminy Nowa Sól-Miasto z organizacjami pozarządowymi i innymi podmiotami w 2010 r.”</w:t>
      </w:r>
    </w:p>
    <w:p w:rsidR="006D4975" w:rsidRPr="00662F03" w:rsidRDefault="006D4975" w:rsidP="006D4975">
      <w:pPr>
        <w:shd w:val="clear" w:color="auto" w:fill="FFFFFF"/>
        <w:jc w:val="both"/>
        <w:outlineLvl w:val="3"/>
        <w:rPr>
          <w:rFonts w:ascii="Calibri" w:hAnsi="Calibri" w:cs="Tahoma"/>
          <w:sz w:val="22"/>
          <w:szCs w:val="22"/>
        </w:rPr>
      </w:pPr>
      <w:r w:rsidRPr="00662F03">
        <w:rPr>
          <w:rFonts w:ascii="Calibri" w:hAnsi="Calibri" w:cs="Tahoma"/>
          <w:sz w:val="22"/>
          <w:szCs w:val="22"/>
        </w:rPr>
        <w:t>Środki zagwarantowane na realizację „Programu współpracy Gminy Nowa Sól-Miasto z organizacjami pozarządowymi i innymi podmiotami w 2010 r.” w budżecie miasta zostały podzielone w ramach otwartego konkursu ofert, który przeprowadzono na przełomie stycznia i lutego 2010 r. Do konkursu przystąpić mogły organizacje pozarządowe oraz podmioty z nimi zrównane realizujące zadania określone w katalogu zawartym w art.4 ustawy z dnia 24 kwietnia 2003r. o działalności pożytku publicznego i o wolontariacie.</w:t>
      </w:r>
    </w:p>
    <w:p w:rsidR="006D4975" w:rsidRPr="00662F03" w:rsidRDefault="006D4975" w:rsidP="006D4975">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xml:space="preserve">Otwarty konkurs ofert przeprowadzono zgodnie z założeniami </w:t>
      </w:r>
      <w:r>
        <w:rPr>
          <w:rFonts w:ascii="Calibri" w:hAnsi="Calibri" w:cs="Tahoma"/>
          <w:sz w:val="22"/>
          <w:szCs w:val="22"/>
        </w:rPr>
        <w:t>p</w:t>
      </w:r>
      <w:r w:rsidRPr="00662F03">
        <w:rPr>
          <w:rFonts w:ascii="Calibri" w:hAnsi="Calibri" w:cs="Tahoma"/>
          <w:sz w:val="22"/>
          <w:szCs w:val="22"/>
        </w:rPr>
        <w:t xml:space="preserve">rogramu w </w:t>
      </w:r>
      <w:r>
        <w:rPr>
          <w:rFonts w:ascii="Calibri" w:hAnsi="Calibri" w:cs="Tahoma"/>
          <w:sz w:val="22"/>
          <w:szCs w:val="22"/>
        </w:rPr>
        <w:t>trzech</w:t>
      </w:r>
      <w:r w:rsidRPr="00662F03">
        <w:rPr>
          <w:rFonts w:ascii="Calibri" w:hAnsi="Calibri" w:cs="Tahoma"/>
          <w:sz w:val="22"/>
          <w:szCs w:val="22"/>
        </w:rPr>
        <w:t xml:space="preserve"> zakresach tematycznych:</w:t>
      </w:r>
    </w:p>
    <w:p w:rsidR="006D4975" w:rsidRPr="00662F03" w:rsidRDefault="006D4975" w:rsidP="006D4975">
      <w:pPr>
        <w:pStyle w:val="Akapitzlist"/>
        <w:numPr>
          <w:ilvl w:val="0"/>
          <w:numId w:val="21"/>
        </w:numPr>
        <w:shd w:val="clear" w:color="auto" w:fill="FFFFFF"/>
        <w:spacing w:after="0" w:line="240" w:lineRule="auto"/>
        <w:jc w:val="both"/>
        <w:outlineLvl w:val="3"/>
        <w:rPr>
          <w:rFonts w:cs="Tahoma"/>
        </w:rPr>
      </w:pPr>
      <w:r w:rsidRPr="00662F03">
        <w:rPr>
          <w:rFonts w:cs="Tahoma"/>
        </w:rPr>
        <w:t>upowszechnianie i rozwój kultury fizycznej,</w:t>
      </w:r>
    </w:p>
    <w:p w:rsidR="006D4975" w:rsidRPr="00662F03" w:rsidRDefault="006D4975" w:rsidP="006D4975">
      <w:pPr>
        <w:pStyle w:val="Akapitzlist"/>
        <w:numPr>
          <w:ilvl w:val="0"/>
          <w:numId w:val="21"/>
        </w:numPr>
        <w:shd w:val="clear" w:color="auto" w:fill="FFFFFF"/>
        <w:spacing w:after="0" w:line="240" w:lineRule="auto"/>
        <w:jc w:val="both"/>
        <w:outlineLvl w:val="3"/>
        <w:rPr>
          <w:rFonts w:cs="Tahoma"/>
        </w:rPr>
      </w:pPr>
      <w:r w:rsidRPr="00662F03">
        <w:rPr>
          <w:rFonts w:cs="Tahoma"/>
        </w:rPr>
        <w:t>wspieranie rozwoju kultury i ochrona jej dóbr,</w:t>
      </w:r>
    </w:p>
    <w:p w:rsidR="006D4975" w:rsidRPr="00662F03" w:rsidRDefault="006D4975" w:rsidP="006D4975">
      <w:pPr>
        <w:pStyle w:val="Akapitzlist"/>
        <w:numPr>
          <w:ilvl w:val="0"/>
          <w:numId w:val="21"/>
        </w:numPr>
        <w:shd w:val="clear" w:color="auto" w:fill="FFFFFF"/>
        <w:spacing w:after="0" w:line="240" w:lineRule="auto"/>
        <w:jc w:val="both"/>
        <w:outlineLvl w:val="3"/>
        <w:rPr>
          <w:rFonts w:cs="Tahoma"/>
        </w:rPr>
      </w:pPr>
      <w:r w:rsidRPr="00662F03">
        <w:rPr>
          <w:rFonts w:cs="Tahoma"/>
        </w:rPr>
        <w:t>pomoc społeczna i ochrona zdrowia.</w:t>
      </w:r>
    </w:p>
    <w:p w:rsidR="006D4975" w:rsidRPr="00662F03" w:rsidRDefault="006D4975" w:rsidP="006D4975">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W roku 2010:</w:t>
      </w:r>
    </w:p>
    <w:p w:rsidR="006D4975" w:rsidRPr="00662F03" w:rsidRDefault="006D4975" w:rsidP="006D4975">
      <w:pPr>
        <w:pStyle w:val="Akapitzlist"/>
        <w:numPr>
          <w:ilvl w:val="0"/>
          <w:numId w:val="22"/>
        </w:numPr>
        <w:shd w:val="clear" w:color="auto" w:fill="FFFFFF"/>
        <w:spacing w:after="0" w:line="240" w:lineRule="auto"/>
        <w:jc w:val="both"/>
        <w:outlineLvl w:val="3"/>
        <w:rPr>
          <w:rFonts w:cs="Tahoma"/>
        </w:rPr>
      </w:pPr>
      <w:r w:rsidRPr="00662F03">
        <w:rPr>
          <w:rFonts w:cs="Tahoma"/>
        </w:rPr>
        <w:t>w dziedzinie „Upowszechniania i rozwoju kultury fizycznej” wpłynęło 29 ofert złożonych przez 20 podmiotów, z których po przeprowadzeniu weryfikacji formalnej i merytorycznej wsparto 16 podmiotów na kwotę 398</w:t>
      </w:r>
      <w:r>
        <w:rPr>
          <w:rFonts w:cs="Tahoma"/>
        </w:rPr>
        <w:t xml:space="preserve"> tys.</w:t>
      </w:r>
      <w:r w:rsidRPr="00662F03">
        <w:rPr>
          <w:rFonts w:cs="Tahoma"/>
        </w:rPr>
        <w:t xml:space="preserve"> zł,</w:t>
      </w:r>
    </w:p>
    <w:p w:rsidR="006D4975" w:rsidRPr="00662F03" w:rsidRDefault="006D4975" w:rsidP="006D4975">
      <w:pPr>
        <w:pStyle w:val="Akapitzlist"/>
        <w:numPr>
          <w:ilvl w:val="0"/>
          <w:numId w:val="22"/>
        </w:numPr>
        <w:shd w:val="clear" w:color="auto" w:fill="FFFFFF"/>
        <w:spacing w:after="0" w:line="240" w:lineRule="auto"/>
        <w:jc w:val="both"/>
        <w:outlineLvl w:val="3"/>
        <w:rPr>
          <w:rFonts w:cs="Tahoma"/>
        </w:rPr>
      </w:pPr>
      <w:r w:rsidRPr="00662F03">
        <w:rPr>
          <w:rFonts w:cs="Tahoma"/>
        </w:rPr>
        <w:t>w zakresie „Wspierania rozwoju kultury i ochrony jej dóbr” wpłynęło 9 ofert złożonych przez 9 podmiotów, z których po przeprowadzeniu weryfikacji formalnej i merytorycznej wsparto 6 podmiotów na kwotę 118</w:t>
      </w:r>
      <w:r>
        <w:rPr>
          <w:rFonts w:cs="Tahoma"/>
        </w:rPr>
        <w:t xml:space="preserve"> tys.</w:t>
      </w:r>
      <w:r w:rsidRPr="00662F03">
        <w:rPr>
          <w:rFonts w:cs="Tahoma"/>
        </w:rPr>
        <w:t xml:space="preserve"> zł,</w:t>
      </w:r>
    </w:p>
    <w:p w:rsidR="006D4975" w:rsidRPr="00662F03" w:rsidRDefault="006D4975" w:rsidP="006D4975">
      <w:pPr>
        <w:pStyle w:val="Akapitzlist"/>
        <w:numPr>
          <w:ilvl w:val="0"/>
          <w:numId w:val="22"/>
        </w:numPr>
        <w:shd w:val="clear" w:color="auto" w:fill="FFFFFF"/>
        <w:spacing w:after="0" w:line="240" w:lineRule="auto"/>
        <w:jc w:val="both"/>
        <w:outlineLvl w:val="3"/>
        <w:rPr>
          <w:rFonts w:cs="Tahoma"/>
        </w:rPr>
      </w:pPr>
      <w:r w:rsidRPr="00662F03">
        <w:rPr>
          <w:rFonts w:cs="Tahoma"/>
        </w:rPr>
        <w:lastRenderedPageBreak/>
        <w:t>w dziedzinie „Pomocy społecznej i ochrony zdrowia” wpłynęło 12 ofert złożonych przez 7 podmiotów, z których po przeprowadzeniu weryfikacji formalnej i merytorycznej wsparto wszystkie na kwotę 57</w:t>
      </w:r>
      <w:r>
        <w:rPr>
          <w:rFonts w:cs="Tahoma"/>
        </w:rPr>
        <w:t xml:space="preserve"> tys.</w:t>
      </w:r>
      <w:r w:rsidRPr="00662F03">
        <w:rPr>
          <w:rFonts w:cs="Tahoma"/>
        </w:rPr>
        <w:t xml:space="preserve"> zł.</w:t>
      </w:r>
    </w:p>
    <w:p w:rsidR="006D4975" w:rsidRDefault="006D4975" w:rsidP="00295383">
      <w:pPr>
        <w:shd w:val="clear" w:color="auto" w:fill="FFFFFF"/>
        <w:jc w:val="both"/>
        <w:outlineLvl w:val="3"/>
        <w:rPr>
          <w:rFonts w:ascii="Calibri" w:hAnsi="Calibri" w:cs="Tahoma"/>
          <w:sz w:val="20"/>
          <w:szCs w:val="22"/>
        </w:rPr>
      </w:pPr>
    </w:p>
    <w:p w:rsidR="006D4975" w:rsidRPr="00295383" w:rsidRDefault="006D4975" w:rsidP="00295383">
      <w:pPr>
        <w:shd w:val="clear" w:color="auto" w:fill="FFFFFF"/>
        <w:jc w:val="both"/>
        <w:outlineLvl w:val="3"/>
        <w:rPr>
          <w:rFonts w:ascii="Calibri" w:hAnsi="Calibri" w:cs="Tahoma"/>
          <w:sz w:val="20"/>
          <w:szCs w:val="22"/>
        </w:rPr>
      </w:pPr>
    </w:p>
    <w:p w:rsidR="005567C5" w:rsidRPr="006D4975" w:rsidRDefault="00072369" w:rsidP="007F5FC1">
      <w:pPr>
        <w:pStyle w:val="Nagwek1"/>
        <w:numPr>
          <w:ilvl w:val="0"/>
          <w:numId w:val="1"/>
        </w:numPr>
        <w:rPr>
          <w:rFonts w:ascii="Calibri" w:hAnsi="Calibri"/>
          <w:color w:val="17365D"/>
          <w:sz w:val="24"/>
        </w:rPr>
      </w:pPr>
      <w:bookmarkStart w:id="91" w:name="_Toc316395270"/>
      <w:r>
        <w:rPr>
          <w:rFonts w:ascii="Calibri" w:hAnsi="Calibri"/>
          <w:color w:val="17365D"/>
          <w:sz w:val="24"/>
        </w:rPr>
        <w:t xml:space="preserve">Analiza </w:t>
      </w:r>
      <w:r w:rsidR="005567C5" w:rsidRPr="006D4975">
        <w:rPr>
          <w:rFonts w:ascii="Calibri" w:hAnsi="Calibri"/>
          <w:color w:val="17365D"/>
          <w:sz w:val="24"/>
        </w:rPr>
        <w:t>dokumentów strategicznych</w:t>
      </w:r>
      <w:bookmarkEnd w:id="91"/>
    </w:p>
    <w:p w:rsidR="00072369" w:rsidRPr="00072369" w:rsidRDefault="00072369" w:rsidP="00072369">
      <w:pPr>
        <w:pStyle w:val="Nagwek2"/>
        <w:numPr>
          <w:ilvl w:val="0"/>
          <w:numId w:val="49"/>
        </w:numPr>
        <w:rPr>
          <w:color w:val="365F91" w:themeColor="accent1" w:themeShade="BF"/>
          <w:sz w:val="22"/>
        </w:rPr>
      </w:pPr>
      <w:bookmarkStart w:id="92" w:name="_Toc316395271"/>
      <w:r w:rsidRPr="00072369">
        <w:rPr>
          <w:color w:val="365F91" w:themeColor="accent1" w:themeShade="BF"/>
          <w:sz w:val="22"/>
        </w:rPr>
        <w:t>lokalnych dokumentów strategicznych</w:t>
      </w:r>
      <w:bookmarkEnd w:id="92"/>
    </w:p>
    <w:p w:rsidR="006C7BBF" w:rsidRPr="00662F03" w:rsidRDefault="006C7BBF" w:rsidP="004E5A9A">
      <w:pPr>
        <w:jc w:val="both"/>
        <w:rPr>
          <w:rFonts w:ascii="Calibri" w:hAnsi="Calibri"/>
          <w:b/>
          <w:i/>
          <w:color w:val="365F91"/>
          <w:sz w:val="22"/>
          <w:szCs w:val="22"/>
        </w:rPr>
      </w:pPr>
      <w:r w:rsidRPr="00662F03">
        <w:rPr>
          <w:rFonts w:ascii="Calibri" w:hAnsi="Calibri"/>
          <w:b/>
          <w:i/>
          <w:color w:val="365F91"/>
          <w:sz w:val="22"/>
          <w:szCs w:val="22"/>
        </w:rPr>
        <w:t>Zmiana Studium Uwarunkowań Gminy Nowa Sól – Miasto</w:t>
      </w:r>
    </w:p>
    <w:p w:rsidR="006C7BBF" w:rsidRPr="00662F03" w:rsidRDefault="006C7BBF" w:rsidP="00473C41">
      <w:pPr>
        <w:shd w:val="clear" w:color="auto" w:fill="FFFFFF"/>
        <w:jc w:val="both"/>
        <w:outlineLvl w:val="3"/>
        <w:rPr>
          <w:rFonts w:ascii="Calibri" w:hAnsi="Calibri" w:cs="Tahoma"/>
          <w:sz w:val="22"/>
          <w:szCs w:val="22"/>
        </w:rPr>
      </w:pPr>
      <w:r w:rsidRPr="00662F03">
        <w:rPr>
          <w:rFonts w:ascii="Calibri" w:hAnsi="Calibri" w:cs="Tahoma"/>
          <w:sz w:val="22"/>
          <w:szCs w:val="22"/>
        </w:rPr>
        <w:t xml:space="preserve">Zakładane w studium generalne kierunki rozwoju miasta kontynuują zasady rozwoju przestrzennego przyjęte w studium uwarunkowań i kierunków zagospodarowania przestrzennego miasta Nowa Sól i innych aktach prawa miejscowego. </w:t>
      </w:r>
      <w:r w:rsidR="00473C41" w:rsidRPr="00662F03">
        <w:rPr>
          <w:rFonts w:ascii="Calibri" w:hAnsi="Calibri" w:cs="Tahoma"/>
          <w:sz w:val="22"/>
          <w:szCs w:val="22"/>
        </w:rPr>
        <w:t>Struktura funkcjonalno-</w:t>
      </w:r>
      <w:r w:rsidRPr="00662F03">
        <w:rPr>
          <w:rFonts w:ascii="Calibri" w:hAnsi="Calibri" w:cs="Tahoma"/>
          <w:sz w:val="22"/>
          <w:szCs w:val="22"/>
        </w:rPr>
        <w:t>przestrzenna uwarunkowana została dodatkowo zmianami w układzie komunikacyjnym miasta oraz zmianą oczekiwań i potrzeb inwestorów, głównie wzrostu zapotrzebowania na tereny rozwoju działalności gospodarczej i usługowej.</w:t>
      </w:r>
    </w:p>
    <w:p w:rsidR="00473C41" w:rsidRPr="00662F03" w:rsidRDefault="00473C41" w:rsidP="00473C41">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Celem strategicznym rozwoju społeczno-gospodarczego i przestrzennego miasta jest uzyskanie takiej jego struktury, która w harmonijny i zrównoważony sposób wykorzystuje walory przyrodnicze i kulturowe miasta oraz jego zasoby i potencjał dla potrzeb rozwoju oraz poprawy warunków życia jego mieszkańców. Cel ten będzie realizowany przez następujące cele bezpośrednie:</w:t>
      </w:r>
    </w:p>
    <w:p w:rsidR="00473C41" w:rsidRPr="00662F03" w:rsidRDefault="00473C41" w:rsidP="00F71F0A">
      <w:pPr>
        <w:numPr>
          <w:ilvl w:val="0"/>
          <w:numId w:val="30"/>
        </w:numPr>
        <w:jc w:val="both"/>
        <w:rPr>
          <w:rFonts w:ascii="Calibri" w:hAnsi="Calibri"/>
          <w:sz w:val="22"/>
          <w:szCs w:val="22"/>
        </w:rPr>
      </w:pPr>
      <w:r w:rsidRPr="00662F03">
        <w:rPr>
          <w:rFonts w:ascii="Calibri" w:hAnsi="Calibri"/>
          <w:sz w:val="22"/>
          <w:szCs w:val="22"/>
        </w:rPr>
        <w:t>ochronę walorów krajobrazowych w obszarze doliny Odry oraz poprawę stanu środowiska,</w:t>
      </w:r>
    </w:p>
    <w:p w:rsidR="00473C41" w:rsidRPr="00662F03" w:rsidRDefault="00473C41" w:rsidP="00F71F0A">
      <w:pPr>
        <w:numPr>
          <w:ilvl w:val="0"/>
          <w:numId w:val="30"/>
        </w:numPr>
        <w:jc w:val="both"/>
        <w:rPr>
          <w:rFonts w:ascii="Calibri" w:hAnsi="Calibri"/>
          <w:sz w:val="22"/>
          <w:szCs w:val="22"/>
        </w:rPr>
      </w:pPr>
      <w:r w:rsidRPr="00662F03">
        <w:rPr>
          <w:rFonts w:ascii="Calibri" w:hAnsi="Calibri"/>
          <w:sz w:val="22"/>
          <w:szCs w:val="22"/>
        </w:rPr>
        <w:t>pełne wykorzystanie przyjętych zasad ochrony i racjonalnego kształtowania środowiska przyrodniczego oraz jego rewitalizacji w procesy zrównoważonego rozwoju społeczno – gospodarczego i przestrzennego miasta,</w:t>
      </w:r>
    </w:p>
    <w:p w:rsidR="00473C41" w:rsidRPr="00662F03" w:rsidRDefault="00473C41" w:rsidP="00F71F0A">
      <w:pPr>
        <w:numPr>
          <w:ilvl w:val="0"/>
          <w:numId w:val="30"/>
        </w:numPr>
        <w:jc w:val="both"/>
        <w:rPr>
          <w:rFonts w:ascii="Calibri" w:hAnsi="Calibri"/>
          <w:sz w:val="22"/>
          <w:szCs w:val="22"/>
        </w:rPr>
      </w:pPr>
      <w:r w:rsidRPr="00662F03">
        <w:rPr>
          <w:rFonts w:ascii="Calibri" w:hAnsi="Calibri"/>
          <w:sz w:val="22"/>
          <w:szCs w:val="22"/>
        </w:rPr>
        <w:t>ochronę dziedzictwa kulturowego, służąca utrwalaniu tożsamości miasta i utrzymaniu głównych elementów jego struktury funkcjonalno – przestrzennej,</w:t>
      </w:r>
    </w:p>
    <w:p w:rsidR="006C7BBF" w:rsidRPr="00662F03" w:rsidRDefault="00473C41" w:rsidP="00F71F0A">
      <w:pPr>
        <w:numPr>
          <w:ilvl w:val="0"/>
          <w:numId w:val="30"/>
        </w:numPr>
        <w:jc w:val="both"/>
        <w:rPr>
          <w:rFonts w:ascii="Calibri" w:hAnsi="Calibri"/>
          <w:sz w:val="22"/>
          <w:szCs w:val="22"/>
        </w:rPr>
      </w:pPr>
      <w:r w:rsidRPr="00662F03">
        <w:rPr>
          <w:rFonts w:ascii="Calibri" w:hAnsi="Calibri"/>
          <w:sz w:val="22"/>
          <w:szCs w:val="22"/>
        </w:rPr>
        <w:t>uzyskanie wzrostu gospodarczego i zwiększenie efektywności gospodarowania przy wykorzystaniu szczególnych walorów położenia miasta, uzyskanie wysokich standardów i ładu w zagospodarowaniu przestrzennym miasta oraz harmonizacja jego układu przestrzennego.</w:t>
      </w:r>
    </w:p>
    <w:p w:rsidR="006C7BBF" w:rsidRPr="00662F03" w:rsidRDefault="006C7BBF" w:rsidP="004E5A9A">
      <w:pPr>
        <w:jc w:val="both"/>
        <w:rPr>
          <w:rFonts w:ascii="Calibri" w:hAnsi="Calibri"/>
          <w:sz w:val="22"/>
          <w:szCs w:val="22"/>
        </w:rPr>
      </w:pPr>
    </w:p>
    <w:p w:rsidR="006C7BBF" w:rsidRPr="00662F03" w:rsidRDefault="006C7BBF" w:rsidP="006C7BBF">
      <w:pPr>
        <w:jc w:val="both"/>
        <w:rPr>
          <w:rFonts w:ascii="Calibri" w:hAnsi="Calibri" w:cs="Arial"/>
          <w:b/>
          <w:i/>
          <w:color w:val="365F91"/>
          <w:sz w:val="22"/>
          <w:szCs w:val="20"/>
        </w:rPr>
      </w:pPr>
      <w:r w:rsidRPr="00662F03">
        <w:rPr>
          <w:rFonts w:ascii="Calibri" w:hAnsi="Calibri" w:cs="Arial"/>
          <w:b/>
          <w:i/>
          <w:color w:val="365F91"/>
          <w:sz w:val="22"/>
          <w:szCs w:val="20"/>
        </w:rPr>
        <w:t>Lokalny Program Rewitalizacji dla Śródmieścia Miasta Nowa Sól na lata 2009-2015</w:t>
      </w:r>
    </w:p>
    <w:p w:rsidR="006C7BBF" w:rsidRPr="00662F03" w:rsidRDefault="006C7BBF" w:rsidP="006C7BBF">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Głównym celem realizacji Programu Rewitalizacji dla Miasta Nowa Sól jest wyprowadzenie wydzielonego obszaru miasta ze stanu kryzysowego poprzez usunięcie zjawisk, które spowodowały jego degradację.</w:t>
      </w:r>
    </w:p>
    <w:p w:rsidR="006C7BBF" w:rsidRPr="00662F03" w:rsidRDefault="006C7BBF" w:rsidP="006C7BBF">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Główne cele operacyjne przypisane do strefy społecznej to:</w:t>
      </w:r>
    </w:p>
    <w:p w:rsidR="006C7BBF" w:rsidRPr="00662F03" w:rsidRDefault="006C7BBF" w:rsidP="006C7BBF">
      <w:pPr>
        <w:rPr>
          <w:rFonts w:ascii="Calibri" w:hAnsi="Calibri"/>
          <w:sz w:val="22"/>
          <w:szCs w:val="22"/>
        </w:rPr>
      </w:pPr>
      <w:r w:rsidRPr="00662F03">
        <w:rPr>
          <w:rFonts w:ascii="Calibri" w:hAnsi="Calibri"/>
          <w:sz w:val="22"/>
          <w:szCs w:val="22"/>
        </w:rPr>
        <w:t>1. Ożywienie społeczno-gospodarcze,</w:t>
      </w:r>
    </w:p>
    <w:p w:rsidR="006C7BBF" w:rsidRPr="00662F03" w:rsidRDefault="006C7BBF" w:rsidP="006C7BBF">
      <w:pPr>
        <w:rPr>
          <w:rFonts w:ascii="Calibri" w:hAnsi="Calibri"/>
          <w:sz w:val="22"/>
          <w:szCs w:val="22"/>
        </w:rPr>
      </w:pPr>
      <w:r w:rsidRPr="00662F03">
        <w:rPr>
          <w:rFonts w:ascii="Calibri" w:hAnsi="Calibri"/>
          <w:sz w:val="22"/>
          <w:szCs w:val="22"/>
        </w:rPr>
        <w:t>2. Zainicjowanie i wzmocnienie współpracy między różnymi podmiotami przy lokalnych działaniach społecznych,</w:t>
      </w:r>
    </w:p>
    <w:p w:rsidR="006C7BBF" w:rsidRPr="00662F03" w:rsidRDefault="006C7BBF" w:rsidP="006C7BBF">
      <w:pPr>
        <w:rPr>
          <w:rFonts w:ascii="Calibri" w:hAnsi="Calibri"/>
          <w:sz w:val="22"/>
          <w:szCs w:val="22"/>
        </w:rPr>
      </w:pPr>
      <w:r w:rsidRPr="00662F03">
        <w:rPr>
          <w:rFonts w:ascii="Calibri" w:hAnsi="Calibri"/>
          <w:sz w:val="22"/>
          <w:szCs w:val="22"/>
        </w:rPr>
        <w:t>3. Zwiększenie udziału społeczności lokalnej w życiu kulturalnym miasta,</w:t>
      </w:r>
    </w:p>
    <w:p w:rsidR="006C7BBF" w:rsidRPr="00662F03" w:rsidRDefault="006C7BBF" w:rsidP="006C7BBF">
      <w:pPr>
        <w:rPr>
          <w:rFonts w:ascii="Calibri" w:hAnsi="Calibri"/>
          <w:sz w:val="22"/>
          <w:szCs w:val="22"/>
        </w:rPr>
      </w:pPr>
      <w:r w:rsidRPr="00662F03">
        <w:rPr>
          <w:rFonts w:ascii="Calibri" w:hAnsi="Calibri"/>
          <w:sz w:val="22"/>
          <w:szCs w:val="22"/>
        </w:rPr>
        <w:t>4. Ograniczenie patologii społecznych,</w:t>
      </w:r>
    </w:p>
    <w:p w:rsidR="006C7BBF" w:rsidRPr="00662F03" w:rsidRDefault="006C7BBF" w:rsidP="006C7BBF">
      <w:pPr>
        <w:rPr>
          <w:rFonts w:ascii="Calibri" w:hAnsi="Calibri"/>
          <w:sz w:val="22"/>
          <w:szCs w:val="22"/>
        </w:rPr>
      </w:pPr>
      <w:r w:rsidRPr="00662F03">
        <w:rPr>
          <w:rFonts w:ascii="Calibri" w:hAnsi="Calibri"/>
          <w:sz w:val="22"/>
          <w:szCs w:val="22"/>
        </w:rPr>
        <w:t>5. Poprawa wizerunku i tożsamości lokalnej mieszkańców.</w:t>
      </w:r>
    </w:p>
    <w:p w:rsidR="006C7BBF" w:rsidRPr="00662F03" w:rsidRDefault="006C7BBF" w:rsidP="006C7BBF">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Główne cele operacyjne przypisane do strefy gospodarczo-ekonomicznej to:</w:t>
      </w:r>
    </w:p>
    <w:p w:rsidR="006C7BBF" w:rsidRPr="00662F03" w:rsidRDefault="006C7BBF" w:rsidP="006C7BBF">
      <w:pPr>
        <w:rPr>
          <w:rFonts w:ascii="Calibri" w:hAnsi="Calibri"/>
          <w:sz w:val="22"/>
          <w:szCs w:val="22"/>
        </w:rPr>
      </w:pPr>
      <w:r w:rsidRPr="00662F03">
        <w:rPr>
          <w:rFonts w:ascii="Calibri" w:hAnsi="Calibri"/>
          <w:sz w:val="22"/>
          <w:szCs w:val="22"/>
        </w:rPr>
        <w:t>1. Tworzenie nowych miejsc pracy,</w:t>
      </w:r>
    </w:p>
    <w:p w:rsidR="006C7BBF" w:rsidRPr="00662F03" w:rsidRDefault="006C7BBF" w:rsidP="006C7BBF">
      <w:pPr>
        <w:rPr>
          <w:rFonts w:ascii="Calibri" w:hAnsi="Calibri"/>
          <w:sz w:val="22"/>
          <w:szCs w:val="22"/>
        </w:rPr>
      </w:pPr>
      <w:r w:rsidRPr="00662F03">
        <w:rPr>
          <w:rFonts w:ascii="Calibri" w:hAnsi="Calibri"/>
          <w:sz w:val="22"/>
          <w:szCs w:val="22"/>
        </w:rPr>
        <w:t>2. Pobudzenie ruchu turystycznego,</w:t>
      </w:r>
    </w:p>
    <w:p w:rsidR="006C7BBF" w:rsidRPr="00662F03" w:rsidRDefault="006C7BBF" w:rsidP="006C7BBF">
      <w:pPr>
        <w:rPr>
          <w:rFonts w:ascii="Calibri" w:hAnsi="Calibri"/>
          <w:sz w:val="22"/>
          <w:szCs w:val="22"/>
        </w:rPr>
      </w:pPr>
      <w:r w:rsidRPr="00662F03">
        <w:rPr>
          <w:rFonts w:ascii="Calibri" w:hAnsi="Calibri"/>
          <w:sz w:val="22"/>
          <w:szCs w:val="22"/>
        </w:rPr>
        <w:t>3. Uzyskanie ładu przestrzennego i estetyki miasta,</w:t>
      </w:r>
    </w:p>
    <w:p w:rsidR="006C7BBF" w:rsidRPr="00662F03" w:rsidRDefault="006C7BBF" w:rsidP="006C7BBF">
      <w:pPr>
        <w:rPr>
          <w:rFonts w:ascii="Calibri" w:hAnsi="Calibri"/>
          <w:sz w:val="22"/>
          <w:szCs w:val="22"/>
        </w:rPr>
      </w:pPr>
      <w:r w:rsidRPr="00662F03">
        <w:rPr>
          <w:rFonts w:ascii="Calibri" w:hAnsi="Calibri"/>
          <w:sz w:val="22"/>
          <w:szCs w:val="22"/>
        </w:rPr>
        <w:t>4. Przywrócenie nieruchomościom ich utraconej wartości,</w:t>
      </w:r>
    </w:p>
    <w:p w:rsidR="006C7BBF" w:rsidRPr="00662F03" w:rsidRDefault="006C7BBF" w:rsidP="006C7BBF">
      <w:pPr>
        <w:rPr>
          <w:rFonts w:ascii="Calibri" w:hAnsi="Calibri"/>
          <w:sz w:val="22"/>
          <w:szCs w:val="22"/>
        </w:rPr>
      </w:pPr>
      <w:r w:rsidRPr="00662F03">
        <w:rPr>
          <w:rFonts w:ascii="Calibri" w:hAnsi="Calibri"/>
          <w:sz w:val="22"/>
          <w:szCs w:val="22"/>
        </w:rPr>
        <w:t>5. Poprawa standardu zasobów mieszkaniowych,</w:t>
      </w:r>
    </w:p>
    <w:p w:rsidR="006C7BBF" w:rsidRPr="00662F03" w:rsidRDefault="006C7BBF" w:rsidP="006C7BBF">
      <w:pPr>
        <w:rPr>
          <w:rFonts w:ascii="Calibri" w:hAnsi="Calibri"/>
          <w:sz w:val="22"/>
          <w:szCs w:val="22"/>
        </w:rPr>
      </w:pPr>
      <w:r w:rsidRPr="00662F03">
        <w:rPr>
          <w:rFonts w:ascii="Calibri" w:hAnsi="Calibri"/>
          <w:sz w:val="22"/>
          <w:szCs w:val="22"/>
        </w:rPr>
        <w:t>6. Wzrost ilości przedsięwzięć organizowanych w obszarze oddziaływania inwestycji,</w:t>
      </w:r>
    </w:p>
    <w:p w:rsidR="006C7BBF" w:rsidRPr="00662F03" w:rsidRDefault="006C7BBF" w:rsidP="006C7BBF">
      <w:pPr>
        <w:rPr>
          <w:rFonts w:ascii="Calibri" w:hAnsi="Calibri"/>
          <w:sz w:val="22"/>
          <w:szCs w:val="22"/>
        </w:rPr>
      </w:pPr>
      <w:r w:rsidRPr="00662F03">
        <w:rPr>
          <w:rFonts w:ascii="Calibri" w:hAnsi="Calibri"/>
          <w:sz w:val="22"/>
          <w:szCs w:val="22"/>
        </w:rPr>
        <w:t>7. Podnoszenie prestiżu dotąd zaniedbanych miejsc.</w:t>
      </w:r>
    </w:p>
    <w:p w:rsidR="006C7BBF" w:rsidRPr="00662F03" w:rsidRDefault="006C7BBF" w:rsidP="009162E2">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lastRenderedPageBreak/>
        <w:t>Ponadto dokument ma na celu propagowanie zachowań proekologicznych i wykorzystywanie przy rewitalizacji centrum Miasta Nowa Sól technologii przyjaznych środowisku.</w:t>
      </w:r>
    </w:p>
    <w:p w:rsidR="006C7BBF" w:rsidRPr="00662F03" w:rsidRDefault="006C7BBF" w:rsidP="004E5A9A">
      <w:pPr>
        <w:jc w:val="both"/>
        <w:rPr>
          <w:rFonts w:ascii="Calibri" w:hAnsi="Calibri"/>
          <w:sz w:val="22"/>
          <w:szCs w:val="22"/>
        </w:rPr>
      </w:pPr>
    </w:p>
    <w:p w:rsidR="005567C5" w:rsidRPr="00662F03" w:rsidRDefault="00763EE5" w:rsidP="004E5A9A">
      <w:pPr>
        <w:jc w:val="both"/>
        <w:rPr>
          <w:rFonts w:ascii="Calibri" w:hAnsi="Calibri"/>
          <w:b/>
          <w:i/>
          <w:color w:val="365F91"/>
          <w:sz w:val="22"/>
          <w:szCs w:val="22"/>
        </w:rPr>
      </w:pPr>
      <w:r w:rsidRPr="00662F03">
        <w:rPr>
          <w:rFonts w:ascii="Calibri" w:hAnsi="Calibri"/>
          <w:b/>
          <w:i/>
          <w:color w:val="365F91"/>
          <w:sz w:val="22"/>
          <w:szCs w:val="22"/>
        </w:rPr>
        <w:t>Program Współpracy Gminy Nowa Sól z organizacjami pozarządowymi w 2011 roku</w:t>
      </w:r>
    </w:p>
    <w:p w:rsidR="006E6068" w:rsidRPr="00662F03" w:rsidRDefault="006E6068" w:rsidP="009162E2">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Współpraca Gminy z organizacjami odbywa się na zasadach: pomocniczości, suwerenności stron, partnerstwa, efektywności, uczciwej konkurencji oraz jawności.</w:t>
      </w:r>
    </w:p>
    <w:p w:rsidR="00763EE5" w:rsidRPr="00662F03" w:rsidRDefault="00763EE5" w:rsidP="009162E2">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Celem głównym współpracy Gminy z organizacjami jest budowanie społeczeństwa obywatelskiego oraz zwiększenie stopnia zaspokojenia potrzeb społecznych.</w:t>
      </w:r>
    </w:p>
    <w:p w:rsidR="00763EE5" w:rsidRPr="00662F03" w:rsidRDefault="00763EE5" w:rsidP="009162E2">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Cele szczegółowe:</w:t>
      </w:r>
    </w:p>
    <w:p w:rsidR="00763EE5" w:rsidRPr="00662F03" w:rsidRDefault="00763EE5" w:rsidP="006E6068">
      <w:pPr>
        <w:autoSpaceDE w:val="0"/>
        <w:autoSpaceDN w:val="0"/>
        <w:adjustRightInd w:val="0"/>
        <w:jc w:val="both"/>
        <w:rPr>
          <w:rFonts w:ascii="Calibri" w:hAnsi="Calibri"/>
          <w:sz w:val="22"/>
          <w:szCs w:val="22"/>
        </w:rPr>
      </w:pPr>
      <w:r w:rsidRPr="00662F03">
        <w:rPr>
          <w:rFonts w:ascii="Calibri" w:hAnsi="Calibri"/>
          <w:sz w:val="22"/>
          <w:szCs w:val="22"/>
        </w:rPr>
        <w:t>1. Zwiększenie wpływu sektora obywatelskiego na kreowanie polityki społecznej w Gminie.</w:t>
      </w:r>
    </w:p>
    <w:p w:rsidR="00763EE5" w:rsidRPr="00662F03" w:rsidRDefault="00763EE5" w:rsidP="006E6068">
      <w:pPr>
        <w:autoSpaceDE w:val="0"/>
        <w:autoSpaceDN w:val="0"/>
        <w:adjustRightInd w:val="0"/>
        <w:jc w:val="both"/>
        <w:rPr>
          <w:rFonts w:ascii="Calibri" w:hAnsi="Calibri"/>
          <w:sz w:val="22"/>
          <w:szCs w:val="22"/>
        </w:rPr>
      </w:pPr>
      <w:r w:rsidRPr="00662F03">
        <w:rPr>
          <w:rFonts w:ascii="Calibri" w:hAnsi="Calibri"/>
          <w:sz w:val="22"/>
          <w:szCs w:val="22"/>
        </w:rPr>
        <w:t>2. Tworzenie warunków do zwiększenia aktywności społecznej.</w:t>
      </w:r>
    </w:p>
    <w:p w:rsidR="00763EE5" w:rsidRPr="00662F03" w:rsidRDefault="00763EE5" w:rsidP="006E6068">
      <w:pPr>
        <w:autoSpaceDE w:val="0"/>
        <w:autoSpaceDN w:val="0"/>
        <w:adjustRightInd w:val="0"/>
        <w:jc w:val="both"/>
        <w:rPr>
          <w:rFonts w:ascii="Calibri" w:hAnsi="Calibri"/>
          <w:sz w:val="22"/>
          <w:szCs w:val="22"/>
        </w:rPr>
      </w:pPr>
      <w:r w:rsidRPr="00662F03">
        <w:rPr>
          <w:rFonts w:ascii="Calibri" w:hAnsi="Calibri"/>
          <w:sz w:val="22"/>
          <w:szCs w:val="22"/>
        </w:rPr>
        <w:t>3. Umacnianie w świadomości społecznej poczucia odpowiedzialności za wspólnotę lokalną.</w:t>
      </w:r>
    </w:p>
    <w:p w:rsidR="00763EE5" w:rsidRPr="00662F03" w:rsidRDefault="00763EE5" w:rsidP="006E6068">
      <w:pPr>
        <w:autoSpaceDE w:val="0"/>
        <w:autoSpaceDN w:val="0"/>
        <w:adjustRightInd w:val="0"/>
        <w:jc w:val="both"/>
        <w:rPr>
          <w:rFonts w:ascii="Calibri" w:hAnsi="Calibri"/>
          <w:sz w:val="22"/>
          <w:szCs w:val="22"/>
        </w:rPr>
      </w:pPr>
      <w:r w:rsidRPr="00662F03">
        <w:rPr>
          <w:rFonts w:ascii="Calibri" w:hAnsi="Calibri"/>
          <w:sz w:val="22"/>
          <w:szCs w:val="22"/>
        </w:rPr>
        <w:t>4. Poprawa jakości życia, poprzez pełniejsze zaspokajanie potrzeb społecznych.</w:t>
      </w:r>
    </w:p>
    <w:p w:rsidR="00763EE5" w:rsidRPr="00662F03" w:rsidRDefault="00763EE5" w:rsidP="006E6068">
      <w:pPr>
        <w:autoSpaceDE w:val="0"/>
        <w:autoSpaceDN w:val="0"/>
        <w:adjustRightInd w:val="0"/>
        <w:jc w:val="both"/>
        <w:rPr>
          <w:rFonts w:ascii="Calibri" w:hAnsi="Calibri"/>
          <w:sz w:val="22"/>
          <w:szCs w:val="22"/>
        </w:rPr>
      </w:pPr>
      <w:r w:rsidRPr="00662F03">
        <w:rPr>
          <w:rFonts w:ascii="Calibri" w:hAnsi="Calibri"/>
          <w:sz w:val="22"/>
          <w:szCs w:val="22"/>
        </w:rPr>
        <w:t>5. Poprawa współpracy międzysektorowej pomiędzy sektorem pozarządowym, a administracją publiczną.</w:t>
      </w:r>
    </w:p>
    <w:p w:rsidR="006E6068" w:rsidRPr="00662F03" w:rsidRDefault="006E6068" w:rsidP="009162E2">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Na 2011 rok ustalono następujące zadania priorytetowe Gminy, które mogą być zlecone do realizacji organizacjom:</w:t>
      </w:r>
    </w:p>
    <w:p w:rsidR="006E6068" w:rsidRPr="00662F03" w:rsidRDefault="006E6068" w:rsidP="006E6068">
      <w:pPr>
        <w:jc w:val="both"/>
        <w:rPr>
          <w:rFonts w:ascii="Calibri" w:hAnsi="Calibri"/>
          <w:sz w:val="22"/>
          <w:szCs w:val="22"/>
        </w:rPr>
      </w:pPr>
      <w:r w:rsidRPr="00662F03">
        <w:rPr>
          <w:rFonts w:ascii="Calibri" w:hAnsi="Calibri"/>
          <w:sz w:val="22"/>
          <w:szCs w:val="22"/>
        </w:rPr>
        <w:t>1) w zakresie kultury fizycznej i sportu:</w:t>
      </w:r>
    </w:p>
    <w:p w:rsidR="006E6068" w:rsidRPr="00662F03" w:rsidRDefault="006E6068" w:rsidP="006E6068">
      <w:pPr>
        <w:jc w:val="both"/>
        <w:rPr>
          <w:rFonts w:ascii="Calibri" w:hAnsi="Calibri"/>
          <w:sz w:val="22"/>
          <w:szCs w:val="22"/>
        </w:rPr>
      </w:pPr>
      <w:r w:rsidRPr="00662F03">
        <w:rPr>
          <w:rFonts w:ascii="Calibri" w:hAnsi="Calibri"/>
          <w:sz w:val="22"/>
          <w:szCs w:val="22"/>
        </w:rPr>
        <w:t>- upowszechnianie kultury fizycznej i rekreacji ruchowej</w:t>
      </w:r>
    </w:p>
    <w:p w:rsidR="006E6068" w:rsidRPr="00662F03" w:rsidRDefault="006E6068" w:rsidP="006E6068">
      <w:pPr>
        <w:jc w:val="both"/>
        <w:rPr>
          <w:rFonts w:ascii="Calibri" w:hAnsi="Calibri"/>
          <w:sz w:val="22"/>
          <w:szCs w:val="22"/>
        </w:rPr>
      </w:pPr>
      <w:r w:rsidRPr="00662F03">
        <w:rPr>
          <w:rFonts w:ascii="Calibri" w:hAnsi="Calibri"/>
          <w:sz w:val="22"/>
          <w:szCs w:val="22"/>
        </w:rPr>
        <w:t>- organizacja i koordynacja przedsięwzięć sportowych o zasięgu gminnym i ponadgminnym</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działań sportowych propagujących zdrowy i aktywny tryb życia wśród mieszkańców Gminy</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szkolenia sportowego, organizowanie zawodów sportowych</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rozwoju uzdolnień dzieci i młodzieży szczególnie utalentowanej</w:t>
      </w:r>
    </w:p>
    <w:p w:rsidR="006E6068" w:rsidRPr="00662F03" w:rsidRDefault="006E6068" w:rsidP="006E6068">
      <w:pPr>
        <w:jc w:val="both"/>
        <w:rPr>
          <w:rFonts w:ascii="Calibri" w:hAnsi="Calibri"/>
          <w:sz w:val="22"/>
          <w:szCs w:val="22"/>
        </w:rPr>
      </w:pPr>
      <w:r w:rsidRPr="00662F03">
        <w:rPr>
          <w:rFonts w:ascii="Calibri" w:hAnsi="Calibri"/>
          <w:sz w:val="22"/>
          <w:szCs w:val="22"/>
        </w:rPr>
        <w:t>2) w zakresie pomocy społecznej:</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różnych form pracy kulturalno-oświatowej z dziećmi i młodzieżą</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działań z zakresu aktywizacji i integracji społecznej seniorów</w:t>
      </w:r>
    </w:p>
    <w:p w:rsidR="006E6068" w:rsidRPr="00662F03" w:rsidRDefault="006E6068" w:rsidP="006E6068">
      <w:pPr>
        <w:jc w:val="both"/>
        <w:rPr>
          <w:rFonts w:ascii="Calibri" w:hAnsi="Calibri"/>
          <w:sz w:val="22"/>
          <w:szCs w:val="22"/>
        </w:rPr>
      </w:pPr>
      <w:r w:rsidRPr="00662F03">
        <w:rPr>
          <w:rFonts w:ascii="Calibri" w:hAnsi="Calibri"/>
          <w:sz w:val="22"/>
          <w:szCs w:val="22"/>
        </w:rPr>
        <w:t>- projekty wspomagające integrację i przeciwdziałanie niepełnosprawności</w:t>
      </w:r>
    </w:p>
    <w:p w:rsidR="006E6068" w:rsidRPr="00662F03" w:rsidRDefault="006E6068" w:rsidP="006E6068">
      <w:pPr>
        <w:jc w:val="both"/>
        <w:rPr>
          <w:rFonts w:ascii="Calibri" w:hAnsi="Calibri"/>
          <w:sz w:val="22"/>
          <w:szCs w:val="22"/>
        </w:rPr>
      </w:pPr>
      <w:r w:rsidRPr="00662F03">
        <w:rPr>
          <w:rFonts w:ascii="Calibri" w:hAnsi="Calibri"/>
          <w:sz w:val="22"/>
          <w:szCs w:val="22"/>
        </w:rPr>
        <w:t>3) w zakresie promocji i organizacji wolontariatu:</w:t>
      </w:r>
    </w:p>
    <w:p w:rsidR="006E6068" w:rsidRPr="00662F03" w:rsidRDefault="006E6068" w:rsidP="006E6068">
      <w:pPr>
        <w:jc w:val="both"/>
        <w:rPr>
          <w:rFonts w:ascii="Calibri" w:hAnsi="Calibri"/>
          <w:sz w:val="22"/>
          <w:szCs w:val="22"/>
        </w:rPr>
      </w:pPr>
      <w:r w:rsidRPr="00662F03">
        <w:rPr>
          <w:rFonts w:ascii="Calibri" w:hAnsi="Calibri"/>
          <w:sz w:val="22"/>
          <w:szCs w:val="22"/>
        </w:rPr>
        <w:t>- powierzanie i wspieranie działań promujących wolontariat</w:t>
      </w:r>
    </w:p>
    <w:p w:rsidR="006E6068" w:rsidRPr="00662F03" w:rsidRDefault="006E6068" w:rsidP="006E6068">
      <w:pPr>
        <w:jc w:val="both"/>
        <w:rPr>
          <w:rFonts w:ascii="Calibri" w:hAnsi="Calibri"/>
          <w:sz w:val="22"/>
          <w:szCs w:val="22"/>
        </w:rPr>
      </w:pPr>
      <w:r w:rsidRPr="00662F03">
        <w:rPr>
          <w:rFonts w:ascii="Calibri" w:hAnsi="Calibri"/>
          <w:sz w:val="22"/>
          <w:szCs w:val="22"/>
        </w:rPr>
        <w:t>4) w zakresie kultury, sztuki, ochrony dóbr kultury i dziedzictwa narodowego</w:t>
      </w:r>
    </w:p>
    <w:p w:rsidR="006E6068" w:rsidRPr="00662F03" w:rsidRDefault="006E6068" w:rsidP="006E6068">
      <w:pPr>
        <w:jc w:val="both"/>
        <w:rPr>
          <w:rFonts w:ascii="Calibri" w:hAnsi="Calibri"/>
          <w:sz w:val="22"/>
          <w:szCs w:val="22"/>
        </w:rPr>
      </w:pPr>
      <w:r w:rsidRPr="00662F03">
        <w:rPr>
          <w:rFonts w:ascii="Calibri" w:hAnsi="Calibri"/>
          <w:sz w:val="22"/>
          <w:szCs w:val="22"/>
        </w:rPr>
        <w:t>-powierzanie i wspieranie działań propagujących kulturę ludową w gminie</w:t>
      </w:r>
    </w:p>
    <w:p w:rsidR="006E6068" w:rsidRPr="00662F03" w:rsidRDefault="006E6068" w:rsidP="006E6068">
      <w:pPr>
        <w:jc w:val="both"/>
        <w:rPr>
          <w:rFonts w:ascii="Calibri" w:hAnsi="Calibri"/>
          <w:sz w:val="22"/>
          <w:szCs w:val="22"/>
        </w:rPr>
      </w:pPr>
      <w:r w:rsidRPr="00662F03">
        <w:rPr>
          <w:rFonts w:ascii="Calibri" w:hAnsi="Calibri"/>
          <w:sz w:val="22"/>
          <w:szCs w:val="22"/>
        </w:rPr>
        <w:t xml:space="preserve">5) w zakresie ekologii i ochrony zwierząt oraz ochrony dziedzictwa przyrodniczego </w:t>
      </w:r>
    </w:p>
    <w:p w:rsidR="006E6068" w:rsidRPr="00662F03" w:rsidRDefault="006E6068" w:rsidP="006E6068">
      <w:pPr>
        <w:jc w:val="both"/>
        <w:rPr>
          <w:rFonts w:ascii="Calibri" w:hAnsi="Calibri"/>
          <w:sz w:val="22"/>
          <w:szCs w:val="22"/>
        </w:rPr>
      </w:pPr>
      <w:r w:rsidRPr="00662F03">
        <w:rPr>
          <w:rFonts w:ascii="Calibri" w:hAnsi="Calibri"/>
          <w:sz w:val="22"/>
          <w:szCs w:val="22"/>
        </w:rPr>
        <w:t xml:space="preserve">-powierzanie i wspieranie działań w kierunku poprawy czystości środowiska przyrodniczego w gminie </w:t>
      </w:r>
    </w:p>
    <w:p w:rsidR="006E6068" w:rsidRPr="00662F03" w:rsidRDefault="006E6068" w:rsidP="006E6068">
      <w:pPr>
        <w:jc w:val="both"/>
        <w:rPr>
          <w:rFonts w:ascii="Calibri" w:hAnsi="Calibri"/>
          <w:sz w:val="22"/>
          <w:szCs w:val="22"/>
        </w:rPr>
      </w:pPr>
      <w:r w:rsidRPr="00662F03">
        <w:rPr>
          <w:rFonts w:ascii="Calibri" w:hAnsi="Calibri"/>
          <w:sz w:val="22"/>
          <w:szCs w:val="22"/>
        </w:rPr>
        <w:t xml:space="preserve">6) w zakresie motolotniarstwa: powierzanie i wspieranie rozwoju sportów motolotniowych, paralotniowych, modelarskich oraz szkolenia dzieci i młodzieży w tym zakresie. </w:t>
      </w:r>
    </w:p>
    <w:p w:rsidR="006E6068" w:rsidRPr="00662F03" w:rsidRDefault="006E6068" w:rsidP="006E6068">
      <w:pPr>
        <w:jc w:val="both"/>
        <w:rPr>
          <w:rFonts w:ascii="Calibri" w:hAnsi="Calibri"/>
          <w:sz w:val="22"/>
          <w:szCs w:val="22"/>
        </w:rPr>
      </w:pPr>
    </w:p>
    <w:p w:rsidR="006E6068" w:rsidRPr="00662F03" w:rsidRDefault="006E6068" w:rsidP="006E6068">
      <w:pPr>
        <w:jc w:val="both"/>
        <w:rPr>
          <w:rFonts w:ascii="Calibri" w:hAnsi="Calibri" w:cs="Arial"/>
          <w:b/>
          <w:i/>
          <w:color w:val="365F91"/>
          <w:sz w:val="22"/>
          <w:szCs w:val="20"/>
        </w:rPr>
      </w:pPr>
      <w:r w:rsidRPr="00662F03">
        <w:rPr>
          <w:rFonts w:ascii="Calibri" w:hAnsi="Calibri" w:cs="Arial"/>
          <w:b/>
          <w:i/>
          <w:color w:val="365F91"/>
          <w:sz w:val="22"/>
          <w:szCs w:val="20"/>
        </w:rPr>
        <w:t>Program Ochrony Środowiska dla Gminy Nowa Sól – Miasto na lata 2004-2015 wraz z planem gospodarki odpadami</w:t>
      </w:r>
    </w:p>
    <w:p w:rsidR="006E6068" w:rsidRPr="00662F03" w:rsidRDefault="002D044D" w:rsidP="009162E2">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Opracowanie programu ochrony środowiska ma na celu zapewnienie harmonijnego rozwoju gminy, polegającego na podejmowaniu działań w sferze społeczno-gospodarczej, umożliwiających racjonalną ochronę środowiska. Punktem wyjściowym Programu jest wizja zrównoważonego rozwoju, która została określona następująco: Nowa Sól miastem o czystym i zdrowym środowisku</w:t>
      </w:r>
      <w:r w:rsidR="004D7B99" w:rsidRPr="00662F03">
        <w:rPr>
          <w:rFonts w:ascii="Calibri" w:hAnsi="Calibri" w:cs="Tahoma"/>
          <w:sz w:val="22"/>
          <w:szCs w:val="22"/>
        </w:rPr>
        <w:t>.</w:t>
      </w:r>
    </w:p>
    <w:p w:rsidR="006F5F79" w:rsidRPr="00662F03" w:rsidRDefault="006F5F79" w:rsidP="009162E2">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w:t>
      </w:r>
      <w:r w:rsidRPr="00662F03">
        <w:rPr>
          <w:rFonts w:ascii="Calibri" w:hAnsi="Calibri" w:cs="Tahoma"/>
          <w:i/>
          <w:sz w:val="22"/>
          <w:szCs w:val="22"/>
        </w:rPr>
        <w:t xml:space="preserve"> Programie</w:t>
      </w:r>
      <w:r w:rsidRPr="00662F03">
        <w:rPr>
          <w:rFonts w:ascii="Calibri" w:hAnsi="Calibri" w:cs="Tahoma"/>
          <w:sz w:val="22"/>
          <w:szCs w:val="22"/>
        </w:rPr>
        <w:t xml:space="preserve"> zawarty został opis problemów środowiskowych, charakterystycznych dla miasta Nowa Sól z perspektywy potrzeb ochrony środowiska, przemian społecznych i gospodarczych oraz szans i barier rozwojowych. Wskazał on związki zagadnień gospodarki i spraw społecznych z ochroną i kształtowaniem środowiska. Wyznaczone zostały cele do osiągnięcia w czasie objętym planowaniem, strategie, czyli sposoby osiągania celów i przedsięwzięcia w perspektywie krótko i długoterminowej. Zostały wskazane wskaźniki efektywności podejmowanych działań, instrumenty kontroli oraz możliwe źródła finansowania.</w:t>
      </w:r>
    </w:p>
    <w:p w:rsidR="004D7B99" w:rsidRPr="00662F03" w:rsidRDefault="004D7B99" w:rsidP="00295383">
      <w:pPr>
        <w:shd w:val="clear" w:color="auto" w:fill="FFFFFF"/>
        <w:jc w:val="both"/>
        <w:outlineLvl w:val="3"/>
        <w:rPr>
          <w:rFonts w:ascii="Calibri" w:hAnsi="Calibri" w:cs="Tahoma"/>
          <w:sz w:val="22"/>
          <w:szCs w:val="22"/>
        </w:rPr>
      </w:pPr>
      <w:r w:rsidRPr="00662F03">
        <w:rPr>
          <w:rFonts w:ascii="Calibri" w:hAnsi="Calibri" w:cs="Tahoma"/>
          <w:sz w:val="22"/>
          <w:szCs w:val="22"/>
        </w:rPr>
        <w:lastRenderedPageBreak/>
        <w:t>Cele szczegółowe Programu Ochrony Środowiska dla miasta Nowa Sól:</w:t>
      </w:r>
    </w:p>
    <w:p w:rsidR="004D7B99" w:rsidRPr="00662F03" w:rsidRDefault="004D7B99" w:rsidP="00465769">
      <w:pPr>
        <w:pStyle w:val="Akapitzlist"/>
        <w:numPr>
          <w:ilvl w:val="0"/>
          <w:numId w:val="23"/>
        </w:numPr>
        <w:spacing w:after="0" w:line="240" w:lineRule="auto"/>
        <w:jc w:val="both"/>
      </w:pPr>
      <w:r w:rsidRPr="00662F03">
        <w:t>Ochrona wód powierzchniowych i podziemnych poprzez uporządkowanie gospodarki wodno-ściekowej w mieście</w:t>
      </w:r>
    </w:p>
    <w:p w:rsidR="004D7B99" w:rsidRPr="00662F03" w:rsidRDefault="004D7B99" w:rsidP="00465769">
      <w:pPr>
        <w:pStyle w:val="Akapitzlist"/>
        <w:numPr>
          <w:ilvl w:val="0"/>
          <w:numId w:val="23"/>
        </w:numPr>
        <w:spacing w:after="0" w:line="240" w:lineRule="auto"/>
        <w:jc w:val="both"/>
      </w:pPr>
      <w:r w:rsidRPr="00662F03">
        <w:t>Ograniczenie emisji pyłowej i gazowej, w tym niskiej emisji</w:t>
      </w:r>
    </w:p>
    <w:p w:rsidR="004D7B99" w:rsidRPr="00662F03" w:rsidRDefault="004D7B99" w:rsidP="00465769">
      <w:pPr>
        <w:pStyle w:val="Akapitzlist"/>
        <w:numPr>
          <w:ilvl w:val="0"/>
          <w:numId w:val="23"/>
        </w:numPr>
        <w:spacing w:after="0" w:line="240" w:lineRule="auto"/>
        <w:jc w:val="both"/>
      </w:pPr>
      <w:r w:rsidRPr="00662F03">
        <w:t>Zmniejszenie oddziaływania hałasu komunikacyjnego w mieście</w:t>
      </w:r>
    </w:p>
    <w:p w:rsidR="004D7B99" w:rsidRPr="00662F03" w:rsidRDefault="004D7B99" w:rsidP="00465769">
      <w:pPr>
        <w:pStyle w:val="Akapitzlist"/>
        <w:numPr>
          <w:ilvl w:val="0"/>
          <w:numId w:val="23"/>
        </w:numPr>
        <w:spacing w:after="0" w:line="240" w:lineRule="auto"/>
        <w:jc w:val="both"/>
      </w:pPr>
      <w:r w:rsidRPr="00662F03">
        <w:t>Ochrona dziedzictwa przyrodniczego i racjonalne użytkowanie zasobów przyrody</w:t>
      </w:r>
    </w:p>
    <w:p w:rsidR="004D7B99" w:rsidRPr="00662F03" w:rsidRDefault="004D7B99" w:rsidP="00465769">
      <w:pPr>
        <w:pStyle w:val="Akapitzlist"/>
        <w:numPr>
          <w:ilvl w:val="0"/>
          <w:numId w:val="23"/>
        </w:numPr>
        <w:spacing w:after="0" w:line="240" w:lineRule="auto"/>
        <w:jc w:val="both"/>
      </w:pPr>
      <w:r w:rsidRPr="00662F03">
        <w:t>Podniesienie świadomości ekologicznej mieszkańców i kształtowanie postaw przyjaznych środowisku</w:t>
      </w:r>
    </w:p>
    <w:p w:rsidR="006E3372" w:rsidRPr="00662F03" w:rsidRDefault="006E3372" w:rsidP="00295383">
      <w:pPr>
        <w:shd w:val="clear" w:color="auto" w:fill="FFFFFF"/>
        <w:jc w:val="both"/>
        <w:outlineLvl w:val="3"/>
        <w:rPr>
          <w:rFonts w:ascii="Calibri" w:hAnsi="Calibri" w:cs="Tahoma"/>
          <w:sz w:val="22"/>
          <w:szCs w:val="22"/>
        </w:rPr>
      </w:pPr>
      <w:r w:rsidRPr="00662F03">
        <w:rPr>
          <w:rFonts w:ascii="Calibri" w:hAnsi="Calibri" w:cs="Tahoma"/>
          <w:sz w:val="22"/>
          <w:szCs w:val="22"/>
        </w:rPr>
        <w:t>Załącznikiem Programu Ochrony Środowiska dla Gminy Nowa Sól jest Plan Gospodarki Odpadami.</w:t>
      </w:r>
    </w:p>
    <w:p w:rsidR="006E3372" w:rsidRPr="00662F03" w:rsidRDefault="006E3372" w:rsidP="004D7B99">
      <w:pPr>
        <w:jc w:val="both"/>
        <w:rPr>
          <w:rFonts w:ascii="Calibri" w:hAnsi="Calibri"/>
          <w:sz w:val="22"/>
          <w:szCs w:val="22"/>
        </w:rPr>
      </w:pPr>
    </w:p>
    <w:p w:rsidR="00785899" w:rsidRPr="00662F03" w:rsidRDefault="00F62243" w:rsidP="00F62243">
      <w:pPr>
        <w:jc w:val="both"/>
        <w:rPr>
          <w:rFonts w:ascii="Calibri" w:hAnsi="Calibri"/>
          <w:b/>
          <w:bCs/>
          <w:i/>
          <w:color w:val="365F91"/>
          <w:sz w:val="22"/>
          <w:szCs w:val="22"/>
        </w:rPr>
      </w:pPr>
      <w:r w:rsidRPr="00662F03">
        <w:rPr>
          <w:rFonts w:ascii="Calibri" w:hAnsi="Calibri"/>
          <w:b/>
          <w:bCs/>
          <w:i/>
          <w:color w:val="365F91"/>
          <w:sz w:val="22"/>
          <w:szCs w:val="22"/>
        </w:rPr>
        <w:t>Gminny Program Przeciwdziałania Narkomanii na terenie miasta Nowa Sól na lata 2011-2013</w:t>
      </w:r>
    </w:p>
    <w:p w:rsidR="00F62243" w:rsidRPr="00662F03" w:rsidRDefault="00F62243" w:rsidP="00F62243">
      <w:pPr>
        <w:jc w:val="both"/>
        <w:rPr>
          <w:rFonts w:ascii="Calibri" w:hAnsi="Calibri"/>
          <w:bCs/>
          <w:sz w:val="22"/>
          <w:szCs w:val="22"/>
        </w:rPr>
      </w:pPr>
      <w:r w:rsidRPr="00662F03">
        <w:rPr>
          <w:rFonts w:ascii="Calibri" w:hAnsi="Calibri"/>
          <w:bCs/>
          <w:sz w:val="22"/>
          <w:szCs w:val="22"/>
        </w:rPr>
        <w:t>Celem programu jest:</w:t>
      </w:r>
    </w:p>
    <w:p w:rsidR="00F62243" w:rsidRPr="00662F03" w:rsidRDefault="00F62243" w:rsidP="00F62243">
      <w:pPr>
        <w:jc w:val="both"/>
        <w:rPr>
          <w:rFonts w:ascii="Calibri" w:hAnsi="Calibri"/>
          <w:bCs/>
          <w:sz w:val="22"/>
          <w:szCs w:val="22"/>
        </w:rPr>
      </w:pPr>
      <w:r w:rsidRPr="00662F03">
        <w:rPr>
          <w:rFonts w:ascii="Calibri" w:hAnsi="Calibri"/>
          <w:bCs/>
          <w:sz w:val="22"/>
          <w:szCs w:val="22"/>
        </w:rPr>
        <w:t>1)ograniczanie szkód zdrowotnych i społecznych spowodowanych używaniem narkotyków oraz związanych z tym problemów,</w:t>
      </w:r>
    </w:p>
    <w:p w:rsidR="00F62243" w:rsidRPr="00662F03" w:rsidRDefault="00F62243" w:rsidP="00F62243">
      <w:pPr>
        <w:jc w:val="both"/>
        <w:rPr>
          <w:rFonts w:ascii="Calibri" w:hAnsi="Calibri"/>
          <w:bCs/>
          <w:sz w:val="22"/>
          <w:szCs w:val="22"/>
        </w:rPr>
      </w:pPr>
      <w:r w:rsidRPr="00662F03">
        <w:rPr>
          <w:rFonts w:ascii="Calibri" w:hAnsi="Calibri"/>
          <w:bCs/>
          <w:sz w:val="22"/>
          <w:szCs w:val="22"/>
        </w:rPr>
        <w:t>2)rozwijanie działalności informacyjno-edukacyjnej, wychowawczej i prozdrowotnej służącej rozwiązywaniu problemu narkomanii,</w:t>
      </w:r>
    </w:p>
    <w:p w:rsidR="00F62243" w:rsidRPr="00662F03" w:rsidRDefault="00F62243" w:rsidP="00F62243">
      <w:pPr>
        <w:jc w:val="both"/>
        <w:rPr>
          <w:rFonts w:ascii="Calibri" w:hAnsi="Calibri"/>
          <w:bCs/>
          <w:sz w:val="22"/>
          <w:szCs w:val="22"/>
        </w:rPr>
      </w:pPr>
      <w:r w:rsidRPr="00662F03">
        <w:rPr>
          <w:rFonts w:ascii="Calibri" w:hAnsi="Calibri"/>
          <w:bCs/>
          <w:sz w:val="22"/>
          <w:szCs w:val="22"/>
        </w:rPr>
        <w:t>3)zapobieganie używania środków psychoaktywnych przez społeczeństwo, a w szczególności przez dzieci i młodzież szkolną,</w:t>
      </w:r>
    </w:p>
    <w:p w:rsidR="00F62243" w:rsidRPr="00662F03" w:rsidRDefault="00F62243" w:rsidP="00F62243">
      <w:pPr>
        <w:jc w:val="both"/>
        <w:rPr>
          <w:rFonts w:ascii="Calibri" w:hAnsi="Calibri"/>
          <w:bCs/>
          <w:sz w:val="22"/>
          <w:szCs w:val="22"/>
        </w:rPr>
      </w:pPr>
      <w:r w:rsidRPr="00662F03">
        <w:rPr>
          <w:rFonts w:ascii="Calibri" w:hAnsi="Calibri"/>
          <w:bCs/>
          <w:sz w:val="22"/>
          <w:szCs w:val="22"/>
        </w:rPr>
        <w:t>4)wspomaganie działalności szkół, instytucji, stowarzyszeń i organizacji pozarządowych służących rozwiązywaniu problemów narkomanii,</w:t>
      </w:r>
    </w:p>
    <w:p w:rsidR="00F62243" w:rsidRPr="00662F03" w:rsidRDefault="00F62243" w:rsidP="00F62243">
      <w:pPr>
        <w:jc w:val="both"/>
        <w:rPr>
          <w:rFonts w:ascii="Calibri" w:hAnsi="Calibri"/>
          <w:bCs/>
          <w:sz w:val="22"/>
          <w:szCs w:val="22"/>
        </w:rPr>
      </w:pPr>
      <w:r w:rsidRPr="00662F03">
        <w:rPr>
          <w:rFonts w:ascii="Calibri" w:hAnsi="Calibri"/>
          <w:bCs/>
          <w:sz w:val="22"/>
          <w:szCs w:val="22"/>
        </w:rPr>
        <w:t>5)wspieranie integracji społecznej oraz zatrudnienia socjalnego osób uzależnionych od narkotyków.</w:t>
      </w:r>
    </w:p>
    <w:p w:rsidR="006E6068" w:rsidRPr="00662F03" w:rsidRDefault="006E6068" w:rsidP="006E6068">
      <w:pPr>
        <w:jc w:val="both"/>
        <w:rPr>
          <w:rFonts w:ascii="Calibri" w:hAnsi="Calibri"/>
          <w:sz w:val="22"/>
          <w:szCs w:val="22"/>
        </w:rPr>
      </w:pPr>
    </w:p>
    <w:p w:rsidR="00F62243" w:rsidRPr="00662F03" w:rsidRDefault="00F62243" w:rsidP="00F62243">
      <w:pPr>
        <w:jc w:val="both"/>
        <w:rPr>
          <w:rFonts w:ascii="Calibri" w:hAnsi="Calibri"/>
          <w:b/>
          <w:bCs/>
          <w:i/>
          <w:color w:val="365F91"/>
          <w:sz w:val="22"/>
          <w:szCs w:val="22"/>
        </w:rPr>
      </w:pPr>
      <w:r w:rsidRPr="00662F03">
        <w:rPr>
          <w:rFonts w:ascii="Calibri" w:hAnsi="Calibri"/>
          <w:b/>
          <w:bCs/>
          <w:i/>
          <w:color w:val="365F91"/>
          <w:sz w:val="22"/>
          <w:szCs w:val="22"/>
        </w:rPr>
        <w:t>Gminny Program Profilaktyki i Rozwiązywania problemów Alkoholowych na terenie miasta Nowa Sól na 2011 rok</w:t>
      </w:r>
    </w:p>
    <w:p w:rsidR="00F62243" w:rsidRPr="00662F03" w:rsidRDefault="00F62243" w:rsidP="00F62243">
      <w:pPr>
        <w:jc w:val="both"/>
        <w:rPr>
          <w:rFonts w:ascii="Calibri" w:hAnsi="Calibri"/>
          <w:sz w:val="22"/>
          <w:szCs w:val="22"/>
        </w:rPr>
      </w:pPr>
      <w:r w:rsidRPr="00662F03">
        <w:rPr>
          <w:rFonts w:ascii="Calibri" w:hAnsi="Calibri"/>
          <w:sz w:val="22"/>
          <w:szCs w:val="22"/>
        </w:rPr>
        <w:t>Celem programu jest:</w:t>
      </w:r>
    </w:p>
    <w:p w:rsidR="00F62243" w:rsidRPr="00662F03" w:rsidRDefault="00F62243" w:rsidP="00F62243">
      <w:pPr>
        <w:jc w:val="both"/>
        <w:rPr>
          <w:rFonts w:ascii="Calibri" w:hAnsi="Calibri"/>
          <w:sz w:val="22"/>
          <w:szCs w:val="22"/>
        </w:rPr>
      </w:pPr>
      <w:r w:rsidRPr="00662F03">
        <w:rPr>
          <w:rFonts w:ascii="Calibri" w:hAnsi="Calibri"/>
          <w:sz w:val="22"/>
          <w:szCs w:val="22"/>
        </w:rPr>
        <w:t>1)Zminimalizowanie rozmiarów szkód zdrowotnych i społecznych spowodowanych piciem szkodliwym i nadużywaniem alkoholu.</w:t>
      </w:r>
    </w:p>
    <w:p w:rsidR="00F62243" w:rsidRPr="00662F03" w:rsidRDefault="00F62243" w:rsidP="00F62243">
      <w:pPr>
        <w:jc w:val="both"/>
        <w:rPr>
          <w:rFonts w:ascii="Calibri" w:hAnsi="Calibri"/>
          <w:sz w:val="22"/>
          <w:szCs w:val="22"/>
        </w:rPr>
      </w:pPr>
      <w:r w:rsidRPr="00662F03">
        <w:rPr>
          <w:rFonts w:ascii="Calibri" w:hAnsi="Calibri"/>
          <w:sz w:val="22"/>
          <w:szCs w:val="22"/>
        </w:rPr>
        <w:t>2)Ograniczanie zaburzeń życia rodzinnego i społecznego wywołanych przez osoby upijające się i stosujące przemoc w rodzinie.</w:t>
      </w:r>
    </w:p>
    <w:p w:rsidR="00F62243" w:rsidRPr="00662F03" w:rsidRDefault="00F62243" w:rsidP="00F62243">
      <w:pPr>
        <w:jc w:val="both"/>
        <w:rPr>
          <w:rFonts w:ascii="Calibri" w:hAnsi="Calibri"/>
          <w:sz w:val="22"/>
          <w:szCs w:val="22"/>
        </w:rPr>
      </w:pPr>
      <w:r w:rsidRPr="00662F03">
        <w:rPr>
          <w:rFonts w:ascii="Calibri" w:hAnsi="Calibri"/>
          <w:sz w:val="22"/>
          <w:szCs w:val="22"/>
        </w:rPr>
        <w:t>3)Zapobieganie spożywania alkoholu przez społeczeństwo, a w szczególności przez dzieci i młodzież szkolną.</w:t>
      </w:r>
    </w:p>
    <w:p w:rsidR="00F62243" w:rsidRPr="00662F03" w:rsidRDefault="00F62243" w:rsidP="00F62243">
      <w:pPr>
        <w:jc w:val="both"/>
        <w:rPr>
          <w:rFonts w:ascii="Calibri" w:hAnsi="Calibri"/>
          <w:sz w:val="22"/>
          <w:szCs w:val="22"/>
        </w:rPr>
      </w:pPr>
      <w:r w:rsidRPr="00662F03">
        <w:rPr>
          <w:rFonts w:ascii="Calibri" w:hAnsi="Calibri"/>
          <w:sz w:val="22"/>
          <w:szCs w:val="22"/>
        </w:rPr>
        <w:t>4)Zmniejszanie skutków prawnych spowodowanych przez osoby pod wpływem alkoholu oraz wdrażanie procedur kierujących osoby nadużywające alkoholu i uzależnione na leczenie odwykowe.</w:t>
      </w:r>
    </w:p>
    <w:p w:rsidR="00F62243" w:rsidRPr="00662F03" w:rsidRDefault="00F62243" w:rsidP="00F62243">
      <w:pPr>
        <w:jc w:val="both"/>
        <w:rPr>
          <w:rFonts w:ascii="Calibri" w:hAnsi="Calibri"/>
          <w:sz w:val="22"/>
          <w:szCs w:val="22"/>
        </w:rPr>
      </w:pPr>
      <w:r w:rsidRPr="00662F03">
        <w:rPr>
          <w:rFonts w:ascii="Calibri" w:hAnsi="Calibri"/>
          <w:sz w:val="22"/>
          <w:szCs w:val="22"/>
        </w:rPr>
        <w:t>5)Wspieranie integracji społecznej osób uzależnionych od alkoholu oraz rozwijanie, działań wspierających powrót do pełnienia ról społecznych.</w:t>
      </w:r>
    </w:p>
    <w:p w:rsidR="00F62243" w:rsidRPr="00662F03" w:rsidRDefault="00F62243" w:rsidP="00F62243">
      <w:pPr>
        <w:jc w:val="both"/>
        <w:rPr>
          <w:rFonts w:ascii="Calibri" w:hAnsi="Calibri"/>
          <w:sz w:val="22"/>
          <w:szCs w:val="22"/>
        </w:rPr>
      </w:pPr>
      <w:r w:rsidRPr="00662F03">
        <w:rPr>
          <w:rFonts w:ascii="Calibri" w:hAnsi="Calibri"/>
          <w:sz w:val="22"/>
          <w:szCs w:val="22"/>
        </w:rPr>
        <w:t>Zadaniami programu są:</w:t>
      </w:r>
    </w:p>
    <w:p w:rsidR="00F62243" w:rsidRPr="00662F03" w:rsidRDefault="00F62243" w:rsidP="00F62243">
      <w:pPr>
        <w:jc w:val="both"/>
        <w:rPr>
          <w:rFonts w:ascii="Calibri" w:hAnsi="Calibri"/>
          <w:bCs/>
          <w:sz w:val="22"/>
          <w:szCs w:val="22"/>
        </w:rPr>
      </w:pPr>
      <w:r w:rsidRPr="00662F03">
        <w:rPr>
          <w:rFonts w:ascii="Calibri" w:hAnsi="Calibri"/>
          <w:bCs/>
          <w:sz w:val="22"/>
          <w:szCs w:val="22"/>
        </w:rPr>
        <w:t>1. Zwiększanie dostępności pomocy terapeutycznej i rehabilitacyjnej dla osób uzależnionych od alkoholu</w:t>
      </w:r>
    </w:p>
    <w:p w:rsidR="00F62243" w:rsidRPr="00662F03" w:rsidRDefault="00F62243" w:rsidP="00F62243">
      <w:pPr>
        <w:jc w:val="both"/>
        <w:rPr>
          <w:rFonts w:ascii="Calibri" w:hAnsi="Calibri"/>
          <w:bCs/>
          <w:sz w:val="22"/>
          <w:szCs w:val="22"/>
        </w:rPr>
      </w:pPr>
      <w:r w:rsidRPr="00662F03">
        <w:rPr>
          <w:rFonts w:ascii="Calibri" w:hAnsi="Calibri"/>
          <w:sz w:val="22"/>
          <w:szCs w:val="22"/>
        </w:rPr>
        <w:t xml:space="preserve">2. </w:t>
      </w:r>
      <w:r w:rsidRPr="00662F03">
        <w:rPr>
          <w:rFonts w:ascii="Calibri" w:hAnsi="Calibri"/>
          <w:bCs/>
          <w:sz w:val="22"/>
          <w:szCs w:val="22"/>
        </w:rPr>
        <w:t>Udzielanie rodzinom, w których występują problemy alkoholowe, pomocy psychologicznej i prawnej, a w szczególności ochrony przed przemocą w rodzinie</w:t>
      </w:r>
    </w:p>
    <w:p w:rsidR="00F62243" w:rsidRPr="00662F03" w:rsidRDefault="00F62243" w:rsidP="00F62243">
      <w:pPr>
        <w:jc w:val="both"/>
        <w:rPr>
          <w:rFonts w:ascii="Calibri" w:hAnsi="Calibri"/>
          <w:bCs/>
          <w:sz w:val="22"/>
          <w:szCs w:val="22"/>
        </w:rPr>
      </w:pPr>
      <w:r w:rsidRPr="00662F03">
        <w:rPr>
          <w:rFonts w:ascii="Calibri" w:hAnsi="Calibri"/>
          <w:bCs/>
          <w:sz w:val="22"/>
          <w:szCs w:val="22"/>
        </w:rPr>
        <w:t>3. Prowadzenie profilaktycznej działalności informacyjnej i edukacyjnej w szczególności dla dzieci i młodzieży, poprzez wdrażanie i realizację profesjonalnych programów profilaktycznych w szkołach podstawowych, gimnazjalnych i ponadgimnazjalnych na terenie Miasta Nowej Soli.</w:t>
      </w:r>
    </w:p>
    <w:p w:rsidR="00F62243" w:rsidRPr="00662F03" w:rsidRDefault="00F62243" w:rsidP="00F62243">
      <w:pPr>
        <w:jc w:val="both"/>
        <w:rPr>
          <w:rFonts w:ascii="Calibri" w:hAnsi="Calibri"/>
          <w:bCs/>
          <w:sz w:val="22"/>
          <w:szCs w:val="22"/>
        </w:rPr>
      </w:pPr>
      <w:r w:rsidRPr="00662F03">
        <w:rPr>
          <w:rFonts w:ascii="Calibri" w:hAnsi="Calibri"/>
          <w:bCs/>
          <w:sz w:val="22"/>
          <w:szCs w:val="22"/>
        </w:rPr>
        <w:t>4. Wspomaganie działalności instytucji, stowarzyszeń i osób fizycznych służących rozwiązywaniu problemów alkoholowych</w:t>
      </w:r>
    </w:p>
    <w:p w:rsidR="00F62243" w:rsidRPr="00662F03" w:rsidRDefault="00F62243" w:rsidP="00F62243">
      <w:pPr>
        <w:jc w:val="both"/>
        <w:rPr>
          <w:rFonts w:ascii="Calibri" w:hAnsi="Calibri"/>
          <w:bCs/>
          <w:sz w:val="22"/>
          <w:szCs w:val="22"/>
        </w:rPr>
      </w:pPr>
      <w:r w:rsidRPr="00662F03">
        <w:rPr>
          <w:rFonts w:ascii="Calibri" w:hAnsi="Calibri"/>
          <w:bCs/>
          <w:sz w:val="22"/>
          <w:szCs w:val="22"/>
        </w:rPr>
        <w:t>5. Podejmowanie interwencji w związku z naruszaniem przepisów określonych w art. 131 i 15 ustawy o wychowaniu w trzeźwości i przeciwdziałania alkoholizmowi oraz występowanie przed sądem w charakterze oskarżyciela publicznego.</w:t>
      </w:r>
    </w:p>
    <w:p w:rsidR="00F62243" w:rsidRPr="00662F03" w:rsidRDefault="00F62243" w:rsidP="00F62243">
      <w:pPr>
        <w:jc w:val="both"/>
        <w:rPr>
          <w:rFonts w:ascii="Calibri" w:hAnsi="Calibri"/>
          <w:bCs/>
          <w:sz w:val="22"/>
          <w:szCs w:val="22"/>
        </w:rPr>
      </w:pPr>
      <w:r w:rsidRPr="00662F03">
        <w:rPr>
          <w:rFonts w:ascii="Calibri" w:hAnsi="Calibri"/>
          <w:bCs/>
          <w:sz w:val="22"/>
          <w:szCs w:val="22"/>
        </w:rPr>
        <w:t>6. Wspieranie integracji społecznej osób uzależnionych od alkoholu oraz zatrudnienia socjalnego.</w:t>
      </w:r>
    </w:p>
    <w:p w:rsidR="00F62243" w:rsidRPr="00662F03" w:rsidRDefault="00F62243" w:rsidP="00F62243">
      <w:pPr>
        <w:jc w:val="both"/>
        <w:rPr>
          <w:rFonts w:ascii="Calibri" w:hAnsi="Calibri"/>
          <w:sz w:val="22"/>
          <w:szCs w:val="22"/>
        </w:rPr>
      </w:pPr>
      <w:r w:rsidRPr="00662F03">
        <w:rPr>
          <w:rFonts w:ascii="Calibri" w:hAnsi="Calibri"/>
          <w:sz w:val="22"/>
          <w:szCs w:val="22"/>
        </w:rPr>
        <w:t>Realizacja zadań wymienionych w programie jest finansowana z środków uzyskanych z opłat za wydane zezwolenia przez gminę na sprzedaż napojów alkoholowych.</w:t>
      </w:r>
    </w:p>
    <w:p w:rsidR="00F62243" w:rsidRPr="00662F03" w:rsidRDefault="00F62243" w:rsidP="00F62243">
      <w:pPr>
        <w:jc w:val="both"/>
        <w:rPr>
          <w:rFonts w:ascii="Calibri" w:hAnsi="Calibri"/>
          <w:sz w:val="22"/>
          <w:szCs w:val="22"/>
        </w:rPr>
      </w:pPr>
    </w:p>
    <w:p w:rsidR="006C7BBF" w:rsidRPr="00662F03" w:rsidRDefault="006C7BBF" w:rsidP="006C7BBF">
      <w:pPr>
        <w:jc w:val="both"/>
        <w:rPr>
          <w:rFonts w:ascii="Calibri" w:hAnsi="Calibri"/>
          <w:b/>
          <w:bCs/>
          <w:i/>
          <w:color w:val="365F91"/>
          <w:sz w:val="22"/>
          <w:szCs w:val="22"/>
        </w:rPr>
      </w:pPr>
      <w:r w:rsidRPr="00662F03">
        <w:rPr>
          <w:rFonts w:ascii="Calibri" w:hAnsi="Calibri"/>
          <w:b/>
          <w:bCs/>
          <w:i/>
          <w:color w:val="365F91"/>
          <w:sz w:val="22"/>
          <w:szCs w:val="22"/>
        </w:rPr>
        <w:lastRenderedPageBreak/>
        <w:t>Plan zaopatrzenia miasta N. Sól w ciepło, energię elektryczną i paliwa gazowe</w:t>
      </w:r>
    </w:p>
    <w:p w:rsidR="006C7BBF" w:rsidRPr="00662F03" w:rsidRDefault="00473C41" w:rsidP="006C7BBF">
      <w:pPr>
        <w:jc w:val="both"/>
        <w:rPr>
          <w:rFonts w:ascii="Calibri" w:hAnsi="Calibri"/>
          <w:sz w:val="22"/>
          <w:szCs w:val="22"/>
        </w:rPr>
      </w:pPr>
      <w:r w:rsidRPr="00662F03">
        <w:rPr>
          <w:rFonts w:ascii="Calibri" w:hAnsi="Calibri"/>
          <w:sz w:val="22"/>
          <w:szCs w:val="22"/>
        </w:rPr>
        <w:t>Miasto Nowa Sól realizuje plan zaopatrzenia w energię elektryczną, ciepło i paliwa gazowe w ramach zasady zrównoważonego rozwoju społeczno-gospodarczego miasta. W zakresie systemów zaopatrzenia w energię i paliwa oznacza to kierunkową realizację zintegrowanego planowania i zarządzania gospodarką energetyczną miasta, prowadzącą do możliwie najniższych kosztów usług energetycznych.</w:t>
      </w:r>
    </w:p>
    <w:p w:rsidR="00473C41" w:rsidRDefault="00473C41" w:rsidP="006C7BBF">
      <w:pPr>
        <w:jc w:val="both"/>
        <w:rPr>
          <w:rFonts w:ascii="Calibri" w:hAnsi="Calibri"/>
          <w:sz w:val="22"/>
          <w:szCs w:val="22"/>
        </w:rPr>
      </w:pPr>
      <w:r w:rsidRPr="00662F03">
        <w:rPr>
          <w:rFonts w:ascii="Calibri" w:hAnsi="Calibri"/>
          <w:sz w:val="22"/>
          <w:szCs w:val="22"/>
        </w:rPr>
        <w:t>W aktualnych warunkach społeczno-gospodarczych miasta za priorytetowe przedsięwzięcia przyjmuje się te, które zmniejszają lub działają stabilizująco na koszt zaopatrzenia w energię użytkowników energii (podmiotów gospodarczych i mieszkańców miasta). Dotyczy to szczególnie kosztów ogrzewania pomieszczeń i przygotowania ciepłej wody.</w:t>
      </w:r>
    </w:p>
    <w:p w:rsidR="009537CD" w:rsidRDefault="009537CD" w:rsidP="006C7BBF">
      <w:pPr>
        <w:jc w:val="both"/>
        <w:rPr>
          <w:rFonts w:ascii="Calibri" w:hAnsi="Calibri"/>
          <w:iCs/>
          <w:sz w:val="22"/>
          <w:szCs w:val="22"/>
        </w:rPr>
      </w:pPr>
      <w:r w:rsidRPr="009537CD">
        <w:rPr>
          <w:rFonts w:ascii="Calibri" w:hAnsi="Calibri"/>
          <w:iCs/>
          <w:sz w:val="22"/>
          <w:szCs w:val="22"/>
        </w:rPr>
        <w:t>Zgodnie z zapisami zawartymi w „Założeniach do planu ...” na terenie miasta Nowa Sól przewid</w:t>
      </w:r>
      <w:r>
        <w:rPr>
          <w:rFonts w:ascii="Calibri" w:hAnsi="Calibri"/>
          <w:iCs/>
          <w:sz w:val="22"/>
          <w:szCs w:val="22"/>
        </w:rPr>
        <w:t xml:space="preserve">ziano </w:t>
      </w:r>
      <w:r w:rsidRPr="009537CD">
        <w:rPr>
          <w:rFonts w:ascii="Calibri" w:hAnsi="Calibri"/>
          <w:iCs/>
          <w:sz w:val="22"/>
          <w:szCs w:val="22"/>
        </w:rPr>
        <w:t xml:space="preserve">wdrożenie miejskiego programu uprawy wierzby energetycznej. </w:t>
      </w:r>
      <w:r>
        <w:rPr>
          <w:rFonts w:ascii="Calibri" w:hAnsi="Calibri"/>
          <w:iCs/>
          <w:sz w:val="22"/>
          <w:szCs w:val="22"/>
        </w:rPr>
        <w:t xml:space="preserve">Miasto dzierżawiło teren od Agencji Nieruchomości Rolnych, </w:t>
      </w:r>
      <w:r w:rsidRPr="009537CD">
        <w:rPr>
          <w:rFonts w:ascii="Calibri" w:hAnsi="Calibri"/>
          <w:iCs/>
          <w:sz w:val="22"/>
          <w:szCs w:val="22"/>
        </w:rPr>
        <w:t>powierzchnia zasadzeń w ciągu ostatnich kilku lat była systematycznie pomniejszana</w:t>
      </w:r>
      <w:r>
        <w:rPr>
          <w:rFonts w:ascii="Calibri" w:hAnsi="Calibri"/>
          <w:iCs/>
          <w:sz w:val="22"/>
          <w:szCs w:val="22"/>
        </w:rPr>
        <w:t>. Program uprawy wierzby energetycznej nie będzie kontynuowany.</w:t>
      </w:r>
    </w:p>
    <w:p w:rsidR="00473C41" w:rsidRPr="00662F03" w:rsidRDefault="00473C41" w:rsidP="006C7BBF">
      <w:pPr>
        <w:jc w:val="both"/>
        <w:rPr>
          <w:rFonts w:ascii="Calibri" w:hAnsi="Calibri"/>
          <w:sz w:val="22"/>
          <w:szCs w:val="22"/>
        </w:rPr>
      </w:pPr>
      <w:r w:rsidRPr="00662F03">
        <w:rPr>
          <w:rFonts w:ascii="Calibri" w:hAnsi="Calibri"/>
          <w:sz w:val="22"/>
          <w:szCs w:val="22"/>
        </w:rPr>
        <w:t>W strategii działania miasta przyjmuje się dążenie do takiej organizacji rynku ciepła w mieście, w którym będą możliwe do uzyskania efekty zintegrowanego planowania i zarządzania systemem ciepłowniczym miasta.</w:t>
      </w:r>
    </w:p>
    <w:p w:rsidR="00473C41" w:rsidRPr="00662F03" w:rsidRDefault="00644722" w:rsidP="006C7BBF">
      <w:pPr>
        <w:jc w:val="both"/>
        <w:rPr>
          <w:rFonts w:ascii="Calibri" w:hAnsi="Calibri"/>
          <w:sz w:val="22"/>
          <w:szCs w:val="22"/>
        </w:rPr>
      </w:pPr>
      <w:r w:rsidRPr="00662F03">
        <w:rPr>
          <w:rFonts w:ascii="Calibri" w:hAnsi="Calibri"/>
          <w:sz w:val="22"/>
          <w:szCs w:val="22"/>
        </w:rPr>
        <w:t>Plan zakłada</w:t>
      </w:r>
      <w:r w:rsidR="00473C41" w:rsidRPr="00662F03">
        <w:rPr>
          <w:rFonts w:ascii="Calibri" w:hAnsi="Calibri"/>
          <w:sz w:val="22"/>
          <w:szCs w:val="22"/>
        </w:rPr>
        <w:t xml:space="preserve"> </w:t>
      </w:r>
      <w:r w:rsidRPr="00662F03">
        <w:rPr>
          <w:rFonts w:ascii="Calibri" w:hAnsi="Calibri"/>
          <w:sz w:val="22"/>
          <w:szCs w:val="22"/>
        </w:rPr>
        <w:t>modernizację</w:t>
      </w:r>
      <w:r w:rsidR="00473C41" w:rsidRPr="00662F03">
        <w:rPr>
          <w:rFonts w:ascii="Calibri" w:hAnsi="Calibri"/>
          <w:sz w:val="22"/>
          <w:szCs w:val="22"/>
        </w:rPr>
        <w:t xml:space="preserve"> źródła ciepła przez zastępowanie części kotłów wodnych urządzeniami wykorzystującymi lokalne, odnawialne źródła (kocioł na biomasę, źródło skojarzone oparte na lokalnych złożach gazu ziemnego), głównie w najbardziej efektywnym obszarze obciążeń cieplnych tj. całorocznego zapotrzebowania ciepła. </w:t>
      </w:r>
      <w:r w:rsidRPr="00662F03">
        <w:rPr>
          <w:rFonts w:ascii="Calibri" w:hAnsi="Calibri"/>
          <w:sz w:val="22"/>
          <w:szCs w:val="22"/>
        </w:rPr>
        <w:t>Konieczna jest kontynuacja realizacji</w:t>
      </w:r>
      <w:r w:rsidR="00473C41" w:rsidRPr="00662F03">
        <w:rPr>
          <w:rFonts w:ascii="Calibri" w:hAnsi="Calibri"/>
          <w:sz w:val="22"/>
          <w:szCs w:val="22"/>
        </w:rPr>
        <w:t xml:space="preserve"> programów likwidacji lokalnych, węglowych kotłowni przemysłowych i komunalnych i podłączania odbiorców ciepła tych kotłowni do istniejącej sieci ciepłowniczej.</w:t>
      </w:r>
    </w:p>
    <w:p w:rsidR="00473C41" w:rsidRPr="00662F03" w:rsidRDefault="00473C41" w:rsidP="006C7BBF">
      <w:pPr>
        <w:jc w:val="both"/>
        <w:rPr>
          <w:rFonts w:ascii="Calibri" w:hAnsi="Calibri"/>
          <w:sz w:val="22"/>
          <w:szCs w:val="22"/>
        </w:rPr>
      </w:pPr>
      <w:r w:rsidRPr="00662F03">
        <w:rPr>
          <w:rFonts w:ascii="Calibri" w:hAnsi="Calibri"/>
          <w:sz w:val="22"/>
          <w:szCs w:val="22"/>
        </w:rPr>
        <w:t>Miasto stymulować będzie powstanie i realizację programu termomodernizacji budynków mieszkalnych w mieście.</w:t>
      </w:r>
    </w:p>
    <w:p w:rsidR="00473C41" w:rsidRPr="00662F03" w:rsidRDefault="00644722" w:rsidP="00473C41">
      <w:pPr>
        <w:jc w:val="both"/>
        <w:rPr>
          <w:rFonts w:ascii="Calibri" w:hAnsi="Calibri"/>
          <w:sz w:val="22"/>
          <w:szCs w:val="22"/>
        </w:rPr>
      </w:pPr>
      <w:r w:rsidRPr="00662F03">
        <w:rPr>
          <w:rFonts w:ascii="Calibri" w:hAnsi="Calibri"/>
          <w:sz w:val="22"/>
          <w:szCs w:val="22"/>
        </w:rPr>
        <w:t>Należy stworzyć</w:t>
      </w:r>
      <w:r w:rsidR="00473C41" w:rsidRPr="00662F03">
        <w:rPr>
          <w:rFonts w:ascii="Calibri" w:hAnsi="Calibri"/>
          <w:sz w:val="22"/>
          <w:szCs w:val="22"/>
        </w:rPr>
        <w:t xml:space="preserve"> system dofinansowania przedsięwzięć zamiany nieefektywnych i stanowiących tzw. niską emisję zanieczyszczeń powietrza, węglowych źródeł ciepła w gospodarstwach domowych na efektywne i przy</w:t>
      </w:r>
      <w:r w:rsidRPr="00662F03">
        <w:rPr>
          <w:rFonts w:ascii="Calibri" w:hAnsi="Calibri"/>
          <w:sz w:val="22"/>
          <w:szCs w:val="22"/>
        </w:rPr>
        <w:t>jazne środowisku źródła ciepła.</w:t>
      </w:r>
    </w:p>
    <w:p w:rsidR="009162E2" w:rsidRDefault="009162E2" w:rsidP="00F62243">
      <w:pPr>
        <w:jc w:val="both"/>
        <w:rPr>
          <w:rFonts w:ascii="Calibri" w:hAnsi="Calibri"/>
          <w:sz w:val="22"/>
          <w:szCs w:val="22"/>
        </w:rPr>
      </w:pPr>
    </w:p>
    <w:p w:rsidR="00D24064" w:rsidRDefault="00D24064" w:rsidP="00F62243">
      <w:pPr>
        <w:jc w:val="both"/>
        <w:rPr>
          <w:rFonts w:ascii="Calibri" w:hAnsi="Calibri"/>
          <w:sz w:val="22"/>
          <w:szCs w:val="22"/>
        </w:rPr>
      </w:pPr>
      <w:r>
        <w:rPr>
          <w:rFonts w:ascii="Calibri" w:hAnsi="Calibri" w:cs="Tahoma"/>
          <w:sz w:val="22"/>
          <w:szCs w:val="22"/>
        </w:rPr>
      </w:r>
      <w:r w:rsidR="00445AB2">
        <w:rPr>
          <w:rFonts w:ascii="Calibri" w:hAnsi="Calibri" w:cs="Tahoma"/>
          <w:sz w:val="22"/>
          <w:szCs w:val="22"/>
        </w:rPr>
        <w:pict>
          <v:rect id="_x0000_s1057"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57;mso-fit-shape-to-text:t" inset="28.8pt,7.2pt,14.4pt,28.8pt">
              <w:txbxContent>
                <w:p w:rsidR="00D24064" w:rsidRPr="00EC0E96" w:rsidRDefault="00D24064" w:rsidP="00D24064">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A732F9" w:rsidP="00D24064">
                  <w:pPr>
                    <w:jc w:val="both"/>
                    <w:rPr>
                      <w:rFonts w:ascii="Calibri" w:hAnsi="Calibri"/>
                      <w:i/>
                      <w:iCs/>
                      <w:color w:val="1F497D"/>
                      <w:sz w:val="22"/>
                      <w:szCs w:val="28"/>
                    </w:rPr>
                  </w:pPr>
                  <w:r>
                    <w:rPr>
                      <w:rFonts w:ascii="Calibri" w:hAnsi="Calibri"/>
                      <w:i/>
                      <w:iCs/>
                      <w:color w:val="1F497D"/>
                      <w:sz w:val="22"/>
                      <w:szCs w:val="28"/>
                    </w:rPr>
                    <w:t xml:space="preserve">Analiza obowiązujących dokumentów strategicznych została przeprowadzona pod kątem identyfikacji głównych kierunków rozwoju Miasta, które powinny być spójne z zapisami tychże dokumentów. </w:t>
                  </w:r>
                  <w:r w:rsidR="000C799F">
                    <w:rPr>
                      <w:rFonts w:ascii="Calibri" w:hAnsi="Calibri"/>
                      <w:i/>
                      <w:iCs/>
                      <w:color w:val="1F497D"/>
                      <w:sz w:val="22"/>
                      <w:szCs w:val="28"/>
                    </w:rPr>
                    <w:t>Większość analizowanych dokumentów powstała na przestrzeni lat</w:t>
                  </w:r>
                  <w:r w:rsidR="00445AB2">
                    <w:rPr>
                      <w:rFonts w:ascii="Calibri" w:hAnsi="Calibri"/>
                      <w:i/>
                      <w:iCs/>
                      <w:color w:val="1F497D"/>
                      <w:sz w:val="22"/>
                      <w:szCs w:val="28"/>
                    </w:rPr>
                    <w:t xml:space="preserve"> 2004-2011</w:t>
                  </w:r>
                  <w:r w:rsidR="000C799F">
                    <w:rPr>
                      <w:rFonts w:ascii="Calibri" w:hAnsi="Calibri"/>
                      <w:i/>
                      <w:iCs/>
                      <w:color w:val="1F497D"/>
                      <w:sz w:val="22"/>
                      <w:szCs w:val="28"/>
                    </w:rPr>
                    <w:t xml:space="preserve">, a więc zawierają </w:t>
                  </w:r>
                  <w:r>
                    <w:rPr>
                      <w:rFonts w:ascii="Calibri" w:hAnsi="Calibri"/>
                      <w:i/>
                      <w:iCs/>
                      <w:color w:val="1F497D"/>
                      <w:sz w:val="22"/>
                      <w:szCs w:val="28"/>
                    </w:rPr>
                    <w:t>najnowsze kierunki, cele i priorytety rozwoju</w:t>
                  </w:r>
                  <w:r w:rsidR="00445AB2">
                    <w:rPr>
                      <w:rFonts w:ascii="Calibri" w:hAnsi="Calibri"/>
                      <w:i/>
                      <w:iCs/>
                      <w:color w:val="1F497D"/>
                      <w:sz w:val="22"/>
                      <w:szCs w:val="28"/>
                    </w:rPr>
                    <w:t>.</w:t>
                  </w:r>
                </w:p>
              </w:txbxContent>
            </v:textbox>
            <w10:wrap type="none" anchorx="margin" anchory="page"/>
            <w10:anchorlock/>
          </v:rect>
        </w:pict>
      </w:r>
    </w:p>
    <w:p w:rsidR="00D24064" w:rsidRPr="00662F03" w:rsidRDefault="00D24064" w:rsidP="00F62243">
      <w:pPr>
        <w:jc w:val="both"/>
        <w:rPr>
          <w:rFonts w:ascii="Calibri" w:hAnsi="Calibri"/>
          <w:sz w:val="22"/>
          <w:szCs w:val="22"/>
        </w:rPr>
      </w:pPr>
    </w:p>
    <w:p w:rsidR="005567C5" w:rsidRPr="00072369" w:rsidRDefault="005567C5" w:rsidP="00072369">
      <w:pPr>
        <w:pStyle w:val="Nagwek2"/>
        <w:numPr>
          <w:ilvl w:val="0"/>
          <w:numId w:val="49"/>
        </w:numPr>
        <w:rPr>
          <w:color w:val="365F91" w:themeColor="accent1" w:themeShade="BF"/>
          <w:sz w:val="22"/>
        </w:rPr>
      </w:pPr>
      <w:bookmarkStart w:id="93" w:name="_Toc316395272"/>
      <w:r w:rsidRPr="00072369">
        <w:rPr>
          <w:color w:val="365F91" w:themeColor="accent1" w:themeShade="BF"/>
          <w:sz w:val="22"/>
        </w:rPr>
        <w:t>regionalnych i krajowych</w:t>
      </w:r>
      <w:r w:rsidR="00072369" w:rsidRPr="00072369">
        <w:rPr>
          <w:color w:val="365F91" w:themeColor="accent1" w:themeShade="BF"/>
          <w:sz w:val="22"/>
        </w:rPr>
        <w:t xml:space="preserve"> dokumentów strategicznych</w:t>
      </w:r>
      <w:bookmarkEnd w:id="93"/>
    </w:p>
    <w:p w:rsidR="004709E3" w:rsidRPr="00662F03" w:rsidRDefault="004709E3" w:rsidP="004709E3">
      <w:pPr>
        <w:jc w:val="both"/>
        <w:rPr>
          <w:rFonts w:ascii="Calibri" w:hAnsi="Calibri"/>
          <w:sz w:val="22"/>
          <w:szCs w:val="22"/>
        </w:rPr>
      </w:pPr>
      <w:r w:rsidRPr="00662F03">
        <w:rPr>
          <w:rFonts w:ascii="Calibri" w:hAnsi="Calibri"/>
          <w:sz w:val="22"/>
          <w:szCs w:val="22"/>
        </w:rPr>
        <w:t xml:space="preserve">Cele które będą określane powinny być brane pod uwagę podczas definiowania celów strategicznych dla </w:t>
      </w:r>
      <w:r w:rsidR="00A42DCD" w:rsidRPr="00662F03">
        <w:rPr>
          <w:rFonts w:ascii="Calibri" w:hAnsi="Calibri"/>
          <w:sz w:val="22"/>
          <w:szCs w:val="22"/>
        </w:rPr>
        <w:t>Nowej Soli</w:t>
      </w:r>
      <w:r w:rsidRPr="00662F03">
        <w:rPr>
          <w:rFonts w:ascii="Calibri" w:hAnsi="Calibri"/>
          <w:sz w:val="22"/>
          <w:szCs w:val="22"/>
        </w:rPr>
        <w:t xml:space="preserve"> z uwzględnieniem specyfiki </w:t>
      </w:r>
      <w:r w:rsidR="00A42DCD" w:rsidRPr="00662F03">
        <w:rPr>
          <w:rFonts w:ascii="Calibri" w:hAnsi="Calibri"/>
          <w:sz w:val="22"/>
          <w:szCs w:val="22"/>
        </w:rPr>
        <w:t>miasta</w:t>
      </w:r>
      <w:r w:rsidRPr="00662F03">
        <w:rPr>
          <w:rFonts w:ascii="Calibri" w:hAnsi="Calibri"/>
          <w:sz w:val="22"/>
          <w:szCs w:val="22"/>
        </w:rPr>
        <w:t>, dlatego poniżej zaprezentowano przegląd podstawowych dokumentów strategicznych ze wskazaniem podstawowych ich założeń.</w:t>
      </w:r>
    </w:p>
    <w:p w:rsidR="004709E3" w:rsidRPr="00662F03" w:rsidRDefault="004709E3" w:rsidP="004709E3">
      <w:pPr>
        <w:jc w:val="both"/>
        <w:rPr>
          <w:rFonts w:ascii="Calibri" w:hAnsi="Calibri"/>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Strategia Rozwoju Województwa Lubuskiego, aktualizacja z horyzontem czasowym do 2020 roku</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Strategia Rozwoju Województwa jest najważniejszym dokumentem strategicznym na szczeblu regionalnym, określającym główne cele i priorytety rozwojowe. Dokument wyznacza kierunki rozwoju województwa w długim i średnim horyzoncie czasowym, daje odpowiedzi na pytania: w jaki sposób osiągnąć pożądany stan rozwoju, jaki jest stan obecny, jakie są słabe i mocne strony regionu oraz jaka jest wizja rozwoju – czyli stan jaki chce osiągnąć społeczeństwo w przyszłości?</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W dokumencie sformułowano następujące cele strategiczne:</w:t>
      </w:r>
    </w:p>
    <w:p w:rsidR="004709E3" w:rsidRPr="00662F03" w:rsidRDefault="004709E3" w:rsidP="004709E3">
      <w:pPr>
        <w:numPr>
          <w:ilvl w:val="0"/>
          <w:numId w:val="3"/>
        </w:numPr>
        <w:jc w:val="both"/>
        <w:rPr>
          <w:rFonts w:ascii="Calibri" w:hAnsi="Calibri" w:cs="Arial"/>
          <w:bCs/>
          <w:sz w:val="22"/>
          <w:szCs w:val="22"/>
        </w:rPr>
      </w:pPr>
      <w:r w:rsidRPr="00662F03">
        <w:rPr>
          <w:rFonts w:ascii="Calibri" w:hAnsi="Calibri" w:cs="Arial"/>
          <w:bCs/>
          <w:sz w:val="22"/>
          <w:szCs w:val="22"/>
        </w:rPr>
        <w:lastRenderedPageBreak/>
        <w:t>Zapewnienie przestrzennej, gospodarczej i społecznej spójno</w:t>
      </w:r>
      <w:r w:rsidRPr="00662F03">
        <w:rPr>
          <w:rFonts w:ascii="Calibri" w:hAnsi="Calibri" w:cs="Arial"/>
          <w:sz w:val="22"/>
          <w:szCs w:val="22"/>
        </w:rPr>
        <w:t>ś</w:t>
      </w:r>
      <w:r w:rsidRPr="00662F03">
        <w:rPr>
          <w:rFonts w:ascii="Calibri" w:hAnsi="Calibri" w:cs="Arial"/>
          <w:bCs/>
          <w:sz w:val="22"/>
          <w:szCs w:val="22"/>
        </w:rPr>
        <w:t>ci regionu</w:t>
      </w:r>
    </w:p>
    <w:p w:rsidR="004709E3" w:rsidRPr="00662F03" w:rsidRDefault="004709E3" w:rsidP="004709E3">
      <w:pPr>
        <w:numPr>
          <w:ilvl w:val="0"/>
          <w:numId w:val="3"/>
        </w:numPr>
        <w:jc w:val="both"/>
        <w:rPr>
          <w:rFonts w:ascii="Calibri" w:hAnsi="Calibri" w:cs="Arial"/>
          <w:bCs/>
          <w:sz w:val="22"/>
          <w:szCs w:val="22"/>
        </w:rPr>
      </w:pPr>
      <w:r w:rsidRPr="00662F03">
        <w:rPr>
          <w:rFonts w:ascii="Calibri" w:hAnsi="Calibri" w:cs="Arial"/>
          <w:bCs/>
          <w:sz w:val="22"/>
          <w:szCs w:val="22"/>
        </w:rPr>
        <w:t>Podniesienie poziomu wykształcenia społeczeństwa, zwiększenie potencjału innowacyjnego nauki oraz informatyzacja społeczeństwa</w:t>
      </w:r>
    </w:p>
    <w:p w:rsidR="004709E3" w:rsidRPr="00662F03" w:rsidRDefault="004709E3" w:rsidP="004709E3">
      <w:pPr>
        <w:numPr>
          <w:ilvl w:val="0"/>
          <w:numId w:val="3"/>
        </w:numPr>
        <w:jc w:val="both"/>
        <w:rPr>
          <w:rFonts w:ascii="Calibri" w:hAnsi="Calibri" w:cs="Arial"/>
          <w:bCs/>
          <w:sz w:val="22"/>
          <w:szCs w:val="22"/>
        </w:rPr>
      </w:pPr>
      <w:r w:rsidRPr="00662F03">
        <w:rPr>
          <w:rFonts w:ascii="Calibri" w:hAnsi="Calibri" w:cs="Arial"/>
          <w:bCs/>
          <w:sz w:val="22"/>
          <w:szCs w:val="22"/>
        </w:rPr>
        <w:t>Rozwój przedsiębiorczości oraz działania mające na celu podniesienie poziomu technologicznego przedsiębiorstw i ich innowacyjności dzięki współpracy z nauką</w:t>
      </w:r>
    </w:p>
    <w:p w:rsidR="004709E3" w:rsidRPr="00662F03" w:rsidRDefault="004709E3" w:rsidP="004709E3">
      <w:pPr>
        <w:numPr>
          <w:ilvl w:val="0"/>
          <w:numId w:val="3"/>
        </w:numPr>
        <w:jc w:val="both"/>
        <w:rPr>
          <w:rFonts w:ascii="Calibri" w:hAnsi="Calibri" w:cs="Arial"/>
          <w:bCs/>
          <w:sz w:val="22"/>
          <w:szCs w:val="22"/>
        </w:rPr>
      </w:pPr>
      <w:r w:rsidRPr="00662F03">
        <w:rPr>
          <w:rFonts w:ascii="Calibri" w:hAnsi="Calibri" w:cs="Arial"/>
          <w:bCs/>
          <w:sz w:val="22"/>
          <w:szCs w:val="22"/>
        </w:rPr>
        <w:t>Efektywne, prorozwojowe wykorzystanie zasobów środowiska przyrodniczego i kulturowego</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Strategia rozwoju turystyki w województwie lubuskim na lata 2006-2013</w:t>
      </w:r>
    </w:p>
    <w:p w:rsidR="004709E3" w:rsidRPr="00662F03" w:rsidRDefault="004709E3" w:rsidP="004709E3">
      <w:pPr>
        <w:autoSpaceDE w:val="0"/>
        <w:autoSpaceDN w:val="0"/>
        <w:adjustRightInd w:val="0"/>
        <w:jc w:val="both"/>
        <w:rPr>
          <w:rFonts w:ascii="Calibri" w:hAnsi="Calibri"/>
          <w:sz w:val="22"/>
          <w:szCs w:val="22"/>
        </w:rPr>
      </w:pPr>
      <w:r w:rsidRPr="00662F03">
        <w:rPr>
          <w:rFonts w:ascii="Calibri" w:hAnsi="Calibri" w:cs="Arial"/>
          <w:sz w:val="22"/>
          <w:szCs w:val="22"/>
        </w:rPr>
        <w:t xml:space="preserve">Strategia wyraża dążenia i aspiracje regionu, a także określa główne priorytety polityki regionu w zakresie turystyki, wskazując na konkretne działania oraz programy zadaniowe zapisane do realizacji. Celem strategicznym jest stworzenie możliwości i warunków dla dynamicznego rozwoju turystycznego Ziemi Lubuskiej. </w:t>
      </w:r>
      <w:r w:rsidRPr="00662F03">
        <w:rPr>
          <w:rFonts w:ascii="Calibri" w:hAnsi="Calibri"/>
          <w:sz w:val="22"/>
          <w:szCs w:val="22"/>
        </w:rPr>
        <w:t>Zakłada się, że realizacja celu wpłynie pozytywnie na jakość oraz lepsze funkcjonowanie wielu obszarów życia gospodarczego i społeczno-kulturalnego regionu i Polski.</w:t>
      </w:r>
    </w:p>
    <w:p w:rsidR="004709E3" w:rsidRPr="00662F03" w:rsidRDefault="004709E3" w:rsidP="004709E3">
      <w:pPr>
        <w:autoSpaceDE w:val="0"/>
        <w:autoSpaceDN w:val="0"/>
        <w:adjustRightInd w:val="0"/>
        <w:jc w:val="both"/>
        <w:rPr>
          <w:rFonts w:ascii="Calibri" w:hAnsi="Calibri"/>
          <w:sz w:val="22"/>
          <w:szCs w:val="22"/>
        </w:rPr>
      </w:pPr>
      <w:r w:rsidRPr="00662F03">
        <w:rPr>
          <w:rFonts w:ascii="Calibri" w:hAnsi="Calibri"/>
          <w:sz w:val="22"/>
          <w:szCs w:val="22"/>
        </w:rPr>
        <w:t>Cele pośrednie:</w:t>
      </w:r>
    </w:p>
    <w:p w:rsidR="004709E3" w:rsidRPr="00662F03" w:rsidRDefault="004709E3" w:rsidP="00F71F0A">
      <w:pPr>
        <w:numPr>
          <w:ilvl w:val="0"/>
          <w:numId w:val="24"/>
        </w:numPr>
        <w:autoSpaceDE w:val="0"/>
        <w:autoSpaceDN w:val="0"/>
        <w:adjustRightInd w:val="0"/>
        <w:jc w:val="both"/>
        <w:rPr>
          <w:rFonts w:ascii="Calibri" w:hAnsi="Calibri"/>
          <w:sz w:val="22"/>
          <w:szCs w:val="22"/>
        </w:rPr>
      </w:pPr>
      <w:r w:rsidRPr="00662F03">
        <w:rPr>
          <w:rFonts w:ascii="Calibri" w:hAnsi="Calibri"/>
          <w:sz w:val="22"/>
          <w:szCs w:val="22"/>
        </w:rPr>
        <w:t>Rozwój konkurencyjnych produktów turystycznych Ziemi Lubuskiej</w:t>
      </w:r>
    </w:p>
    <w:p w:rsidR="004709E3" w:rsidRPr="00662F03" w:rsidRDefault="004709E3" w:rsidP="00F71F0A">
      <w:pPr>
        <w:numPr>
          <w:ilvl w:val="0"/>
          <w:numId w:val="24"/>
        </w:numPr>
        <w:autoSpaceDE w:val="0"/>
        <w:autoSpaceDN w:val="0"/>
        <w:adjustRightInd w:val="0"/>
        <w:jc w:val="both"/>
        <w:rPr>
          <w:rFonts w:ascii="Calibri" w:hAnsi="Calibri"/>
          <w:sz w:val="22"/>
          <w:szCs w:val="22"/>
        </w:rPr>
      </w:pPr>
      <w:r w:rsidRPr="00662F03">
        <w:rPr>
          <w:rFonts w:ascii="Calibri" w:hAnsi="Calibri"/>
          <w:sz w:val="22"/>
          <w:szCs w:val="22"/>
        </w:rPr>
        <w:t>Kształtowanie przestrzeni oraz rozwój nowoczesnej infrastruktury turystycznej</w:t>
      </w:r>
    </w:p>
    <w:p w:rsidR="004709E3" w:rsidRPr="00662F03" w:rsidRDefault="004709E3" w:rsidP="00F71F0A">
      <w:pPr>
        <w:numPr>
          <w:ilvl w:val="0"/>
          <w:numId w:val="24"/>
        </w:numPr>
        <w:autoSpaceDE w:val="0"/>
        <w:autoSpaceDN w:val="0"/>
        <w:adjustRightInd w:val="0"/>
        <w:jc w:val="both"/>
        <w:rPr>
          <w:rFonts w:ascii="Calibri" w:hAnsi="Calibri"/>
          <w:sz w:val="22"/>
          <w:szCs w:val="22"/>
        </w:rPr>
      </w:pPr>
      <w:r w:rsidRPr="00662F03">
        <w:rPr>
          <w:rFonts w:ascii="Calibri" w:hAnsi="Calibri"/>
          <w:sz w:val="22"/>
          <w:szCs w:val="22"/>
        </w:rPr>
        <w:t>Stworzenie spójnego i skutecznego systemu marketingu w turystyce regionu</w:t>
      </w:r>
    </w:p>
    <w:p w:rsidR="004709E3" w:rsidRPr="00662F03" w:rsidRDefault="004709E3" w:rsidP="00F71F0A">
      <w:pPr>
        <w:numPr>
          <w:ilvl w:val="0"/>
          <w:numId w:val="24"/>
        </w:numPr>
        <w:autoSpaceDE w:val="0"/>
        <w:autoSpaceDN w:val="0"/>
        <w:adjustRightInd w:val="0"/>
        <w:jc w:val="both"/>
        <w:rPr>
          <w:rFonts w:ascii="Calibri" w:hAnsi="Calibri"/>
          <w:sz w:val="22"/>
          <w:szCs w:val="22"/>
        </w:rPr>
      </w:pPr>
      <w:r w:rsidRPr="00662F03">
        <w:rPr>
          <w:rFonts w:ascii="Calibri" w:hAnsi="Calibri"/>
          <w:sz w:val="22"/>
          <w:szCs w:val="22"/>
        </w:rPr>
        <w:t>Przygotowanie profesjonalnych kadr na potrzeby turystyki Ziemi Lubuskiej</w:t>
      </w:r>
    </w:p>
    <w:p w:rsidR="004709E3" w:rsidRPr="00662F03" w:rsidRDefault="004709E3" w:rsidP="00F71F0A">
      <w:pPr>
        <w:numPr>
          <w:ilvl w:val="0"/>
          <w:numId w:val="24"/>
        </w:numPr>
        <w:autoSpaceDE w:val="0"/>
        <w:autoSpaceDN w:val="0"/>
        <w:adjustRightInd w:val="0"/>
        <w:jc w:val="both"/>
        <w:rPr>
          <w:rFonts w:ascii="Calibri" w:hAnsi="Calibri"/>
          <w:sz w:val="22"/>
          <w:szCs w:val="22"/>
        </w:rPr>
      </w:pPr>
      <w:r w:rsidRPr="00662F03">
        <w:rPr>
          <w:rFonts w:ascii="Calibri" w:hAnsi="Calibri"/>
          <w:sz w:val="22"/>
          <w:szCs w:val="22"/>
        </w:rPr>
        <w:t>Wspomaganie instytucji i systemów rozwijających turystykę</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Strategia określa specjalne obszary priorytetowe, określające ramy polityki pro turystycznej regionu oraz koncentracja podejmowanych działań w zakresie rozwoju turystyki. Zakładane obszary priorytetowe będą realizowały założenia misji oraz przyczyniały się do osiągnięcia 5 wytyczonych celów strategicznych.</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Strategia rozwoju kultury Województwa Lubuskiego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Dokument precyzuje cele strategiczne i operacyjne, kierunki działania, zadania szczegółowe i ich hierarchizację w dziedzinie kultury.</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Cele główne:</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Zachowanie ciągłości dziedzictwa kulturowego regionu</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Efektywne wykorzystanie dziedzictwa kulturowego regionu w podnoszeniu jego atrakcyjności</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Wzmocnienie pozycji bibliotek publicznych jako głównych ośrodków informacji oraz kulturalnej i obywatelskiej aktywizacji społeczności lokalnych</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Aktywne uczestnictwo społeczeństwa w życiu kulturalnym</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Znoszenie barier kompetencyjnych i organizacyjnych w odbiorze i dostępie Lubuszan do wartości kultury symbolicznej</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Zapewnienie społeczeństwu możliwości uczestnictwa w przedsięwzięciach artystycznych</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Mecenat nad regionalną działalnością twórczą</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Integracja społeczności województwa i zachowanie tożsamości narodowej</w:t>
      </w:r>
    </w:p>
    <w:p w:rsidR="004709E3" w:rsidRPr="00662F03" w:rsidRDefault="004709E3" w:rsidP="00F71F0A">
      <w:pPr>
        <w:numPr>
          <w:ilvl w:val="0"/>
          <w:numId w:val="25"/>
        </w:numPr>
        <w:jc w:val="both"/>
        <w:rPr>
          <w:rFonts w:ascii="Calibri" w:hAnsi="Calibri" w:cs="Arial"/>
          <w:sz w:val="22"/>
          <w:szCs w:val="22"/>
        </w:rPr>
      </w:pPr>
      <w:r w:rsidRPr="00662F03">
        <w:rPr>
          <w:rFonts w:ascii="Calibri" w:hAnsi="Calibri" w:cs="Arial"/>
          <w:sz w:val="22"/>
          <w:szCs w:val="22"/>
        </w:rPr>
        <w:t>Budowanie społeczeństwa obywatelskiego</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Strategia polityki społecznej województwa lubuskiego na lata 2005-2013</w:t>
      </w:r>
    </w:p>
    <w:p w:rsidR="004709E3" w:rsidRPr="00662F03" w:rsidRDefault="004709E3" w:rsidP="004709E3">
      <w:pPr>
        <w:jc w:val="both"/>
        <w:rPr>
          <w:rFonts w:ascii="Calibri" w:hAnsi="Calibri" w:cs="Arial"/>
          <w:i/>
          <w:iCs/>
          <w:sz w:val="22"/>
          <w:szCs w:val="22"/>
        </w:rPr>
      </w:pPr>
      <w:r w:rsidRPr="00662F03">
        <w:rPr>
          <w:rFonts w:ascii="Calibri" w:hAnsi="Calibri" w:cs="Arial"/>
          <w:sz w:val="22"/>
          <w:szCs w:val="22"/>
        </w:rPr>
        <w:t xml:space="preserve">Podstawą formułowania strategii jest </w:t>
      </w:r>
      <w:r w:rsidRPr="00662F03">
        <w:rPr>
          <w:rFonts w:ascii="Calibri" w:hAnsi="Calibri" w:cs="Arial"/>
          <w:i/>
          <w:iCs/>
          <w:sz w:val="22"/>
          <w:szCs w:val="22"/>
        </w:rPr>
        <w:t xml:space="preserve">Diagnoza Społeczna Województwa Lubuskiego </w:t>
      </w:r>
      <w:r w:rsidRPr="00662F03">
        <w:rPr>
          <w:rFonts w:ascii="Calibri" w:hAnsi="Calibri" w:cs="Arial"/>
          <w:sz w:val="22"/>
          <w:szCs w:val="22"/>
        </w:rPr>
        <w:t>z września 2004 r., która zdefiniowała problemy społeczne i ich przyczyny, określiła grupy</w:t>
      </w:r>
      <w:r w:rsidRPr="00662F03">
        <w:rPr>
          <w:rFonts w:ascii="Calibri" w:hAnsi="Calibri" w:cs="Arial"/>
          <w:i/>
          <w:iCs/>
          <w:sz w:val="22"/>
          <w:szCs w:val="22"/>
        </w:rPr>
        <w:t xml:space="preserve"> </w:t>
      </w:r>
      <w:r w:rsidRPr="00662F03">
        <w:rPr>
          <w:rFonts w:ascii="Calibri" w:hAnsi="Calibri" w:cs="Arial"/>
          <w:sz w:val="22"/>
          <w:szCs w:val="22"/>
        </w:rPr>
        <w:t>społeczne zagrożone marginalizacją i wykluczeniem społecznym, a także zasoby</w:t>
      </w:r>
      <w:r w:rsidRPr="00662F03">
        <w:rPr>
          <w:rFonts w:ascii="Calibri" w:hAnsi="Calibri" w:cs="Arial"/>
          <w:i/>
          <w:iCs/>
          <w:sz w:val="22"/>
          <w:szCs w:val="22"/>
        </w:rPr>
        <w:t xml:space="preserve"> </w:t>
      </w:r>
      <w:r w:rsidRPr="00662F03">
        <w:rPr>
          <w:rFonts w:ascii="Calibri" w:hAnsi="Calibri" w:cs="Arial"/>
          <w:sz w:val="22"/>
          <w:szCs w:val="22"/>
        </w:rPr>
        <w:t>infrastruktury społecznej służącej zaspokajaniu potrzeb społecznych, rozwiązywaniu</w:t>
      </w:r>
      <w:r w:rsidRPr="00662F03">
        <w:rPr>
          <w:rFonts w:ascii="Calibri" w:hAnsi="Calibri" w:cs="Arial"/>
          <w:i/>
          <w:iCs/>
          <w:sz w:val="22"/>
          <w:szCs w:val="22"/>
        </w:rPr>
        <w:t xml:space="preserve"> </w:t>
      </w:r>
      <w:r w:rsidRPr="00662F03">
        <w:rPr>
          <w:rFonts w:ascii="Calibri" w:hAnsi="Calibri" w:cs="Arial"/>
          <w:sz w:val="22"/>
          <w:szCs w:val="22"/>
        </w:rPr>
        <w:t>problemów społecznych oraz reintegracji społecznej.</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Główne priorytety polityki społecznej województwa to:</w:t>
      </w:r>
    </w:p>
    <w:p w:rsidR="004709E3" w:rsidRPr="00662F03" w:rsidRDefault="004709E3" w:rsidP="00F71F0A">
      <w:pPr>
        <w:numPr>
          <w:ilvl w:val="0"/>
          <w:numId w:val="26"/>
        </w:numPr>
        <w:jc w:val="both"/>
        <w:rPr>
          <w:rFonts w:ascii="Calibri" w:hAnsi="Calibri" w:cs="Arial"/>
          <w:sz w:val="22"/>
          <w:szCs w:val="22"/>
        </w:rPr>
      </w:pPr>
      <w:r w:rsidRPr="00662F03">
        <w:rPr>
          <w:rFonts w:ascii="Calibri" w:hAnsi="Calibri" w:cs="Arial"/>
          <w:sz w:val="22"/>
          <w:szCs w:val="22"/>
        </w:rPr>
        <w:t>wyrównywanie szans rozwojowych dzieci i młodzieży,</w:t>
      </w:r>
    </w:p>
    <w:p w:rsidR="004709E3" w:rsidRPr="00662F03" w:rsidRDefault="004709E3" w:rsidP="00F71F0A">
      <w:pPr>
        <w:numPr>
          <w:ilvl w:val="0"/>
          <w:numId w:val="26"/>
        </w:numPr>
        <w:jc w:val="both"/>
        <w:rPr>
          <w:rFonts w:ascii="Calibri" w:hAnsi="Calibri" w:cs="Arial"/>
          <w:sz w:val="22"/>
          <w:szCs w:val="22"/>
        </w:rPr>
      </w:pPr>
      <w:r w:rsidRPr="00662F03">
        <w:rPr>
          <w:rFonts w:ascii="Calibri" w:hAnsi="Calibri" w:cs="Arial"/>
          <w:sz w:val="22"/>
          <w:szCs w:val="22"/>
        </w:rPr>
        <w:t>zapobieganie wykluczeniu społecznemu osób i rodzin ubogich, objętych bezrobociem oraz ich integracja ze społeczeństwem,</w:t>
      </w:r>
    </w:p>
    <w:p w:rsidR="004709E3" w:rsidRPr="00662F03" w:rsidRDefault="004709E3" w:rsidP="00F71F0A">
      <w:pPr>
        <w:numPr>
          <w:ilvl w:val="0"/>
          <w:numId w:val="26"/>
        </w:numPr>
        <w:jc w:val="both"/>
        <w:rPr>
          <w:rFonts w:ascii="Calibri" w:hAnsi="Calibri" w:cs="Arial"/>
          <w:bCs/>
          <w:sz w:val="22"/>
          <w:szCs w:val="22"/>
        </w:rPr>
      </w:pPr>
      <w:r w:rsidRPr="00662F03">
        <w:rPr>
          <w:rFonts w:ascii="Calibri" w:hAnsi="Calibri" w:cs="Arial"/>
          <w:bCs/>
          <w:sz w:val="22"/>
          <w:szCs w:val="22"/>
        </w:rPr>
        <w:t>doskonalenie systemu wsparcia społecznego,</w:t>
      </w:r>
    </w:p>
    <w:p w:rsidR="004709E3" w:rsidRPr="00662F03" w:rsidRDefault="004709E3" w:rsidP="00F71F0A">
      <w:pPr>
        <w:numPr>
          <w:ilvl w:val="0"/>
          <w:numId w:val="26"/>
        </w:numPr>
        <w:jc w:val="both"/>
        <w:rPr>
          <w:rFonts w:ascii="Calibri" w:hAnsi="Calibri" w:cs="Arial"/>
          <w:bCs/>
          <w:sz w:val="22"/>
          <w:szCs w:val="22"/>
        </w:rPr>
      </w:pPr>
      <w:r w:rsidRPr="00662F03">
        <w:rPr>
          <w:rFonts w:ascii="Calibri" w:hAnsi="Calibri" w:cs="Arial"/>
          <w:bCs/>
          <w:sz w:val="22"/>
          <w:szCs w:val="22"/>
        </w:rPr>
        <w:t>wspieranie rozwoju społeczeństwa obywatelskiego.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lastRenderedPageBreak/>
        <w:t>Działania w ramach realizacji strategii polityki społecznej województwa lubuskiego na lata 2005-2013 podejmowane będą w myśl zasady przestrzegania równości płci, oznaczającej, że ludzie mogą w sposób wolny rozwijać osobiste zdolności i dokonywać wyborów bez ograniczeń społeczno-kulturowych oraz że odmienne zachowania, ambicje i potrzeby kobiet i mężczyzn są traktowane i oceniane w oparciu o zasadę równości.</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 xml:space="preserve">Celem nadrzędnym </w:t>
      </w:r>
      <w:r w:rsidRPr="00662F03">
        <w:rPr>
          <w:rFonts w:ascii="Calibri" w:hAnsi="Calibri" w:cs="Calibri"/>
          <w:b/>
          <w:i/>
          <w:color w:val="17365D"/>
          <w:sz w:val="22"/>
          <w:szCs w:val="22"/>
        </w:rPr>
        <w:t>Lubuskiej Strategii Ochrony Zdrowia na lata 2010-2013</w:t>
      </w:r>
      <w:r w:rsidRPr="00662F03">
        <w:rPr>
          <w:rFonts w:ascii="Calibri" w:hAnsi="Calibri" w:cs="Arial"/>
          <w:sz w:val="22"/>
          <w:szCs w:val="22"/>
        </w:rPr>
        <w:t xml:space="preserve"> jest poprawa zdrowia i jakości życia mieszkańców województwa lubuskiego, jako czynnika rozwoju społeczno-ekonomicznego. Cele strategiczne to:</w:t>
      </w:r>
    </w:p>
    <w:p w:rsidR="004709E3" w:rsidRPr="00662F03" w:rsidRDefault="004709E3" w:rsidP="00F71F0A">
      <w:pPr>
        <w:numPr>
          <w:ilvl w:val="0"/>
          <w:numId w:val="27"/>
        </w:numPr>
        <w:jc w:val="both"/>
        <w:rPr>
          <w:rFonts w:ascii="Calibri" w:hAnsi="Calibri" w:cs="Arial"/>
          <w:sz w:val="22"/>
          <w:szCs w:val="22"/>
        </w:rPr>
      </w:pPr>
      <w:r w:rsidRPr="00662F03">
        <w:rPr>
          <w:rFonts w:ascii="Calibri" w:hAnsi="Calibri" w:cs="Arial"/>
          <w:sz w:val="22"/>
          <w:szCs w:val="22"/>
        </w:rPr>
        <w:t>Poprawa efektywności funkcjonowania systemu ochrony zdrowia</w:t>
      </w:r>
    </w:p>
    <w:p w:rsidR="004709E3" w:rsidRPr="00662F03" w:rsidRDefault="004709E3" w:rsidP="00F71F0A">
      <w:pPr>
        <w:numPr>
          <w:ilvl w:val="0"/>
          <w:numId w:val="27"/>
        </w:numPr>
        <w:jc w:val="both"/>
        <w:rPr>
          <w:rFonts w:ascii="Calibri" w:hAnsi="Calibri" w:cs="Arial"/>
          <w:sz w:val="22"/>
          <w:szCs w:val="22"/>
        </w:rPr>
      </w:pPr>
      <w:r w:rsidRPr="00662F03">
        <w:rPr>
          <w:rFonts w:ascii="Calibri" w:hAnsi="Calibri" w:cs="Arial"/>
          <w:sz w:val="22"/>
          <w:szCs w:val="22"/>
        </w:rPr>
        <w:t>Zwiększenie bezpieczeństwa zdrowotnego społeczeństwa</w:t>
      </w:r>
    </w:p>
    <w:p w:rsidR="004709E3" w:rsidRPr="00662F03" w:rsidRDefault="004709E3" w:rsidP="00F71F0A">
      <w:pPr>
        <w:numPr>
          <w:ilvl w:val="0"/>
          <w:numId w:val="27"/>
        </w:numPr>
        <w:jc w:val="both"/>
        <w:rPr>
          <w:rFonts w:ascii="Calibri" w:hAnsi="Calibri" w:cs="Arial"/>
          <w:sz w:val="22"/>
          <w:szCs w:val="22"/>
        </w:rPr>
      </w:pPr>
      <w:r w:rsidRPr="00662F03">
        <w:rPr>
          <w:rFonts w:ascii="Calibri" w:hAnsi="Calibri" w:cs="Arial"/>
          <w:sz w:val="22"/>
          <w:szCs w:val="22"/>
        </w:rPr>
        <w:t>Dostosowanie opieki zdrowotnej do dynamiki długookresowych trendów demograficznych</w:t>
      </w:r>
    </w:p>
    <w:p w:rsidR="004709E3" w:rsidRPr="00662F03" w:rsidRDefault="004709E3" w:rsidP="00F71F0A">
      <w:pPr>
        <w:numPr>
          <w:ilvl w:val="0"/>
          <w:numId w:val="27"/>
        </w:numPr>
        <w:jc w:val="both"/>
        <w:rPr>
          <w:rFonts w:ascii="Calibri" w:hAnsi="Calibri" w:cs="Arial"/>
          <w:sz w:val="22"/>
          <w:szCs w:val="22"/>
        </w:rPr>
      </w:pPr>
      <w:r w:rsidRPr="00662F03">
        <w:rPr>
          <w:rFonts w:ascii="Calibri" w:hAnsi="Calibri" w:cs="Arial"/>
          <w:sz w:val="22"/>
          <w:szCs w:val="22"/>
        </w:rPr>
        <w:t>Promocja Zdrowia i kształtowanie prozdrowotnych postaw mieszkańców województwa lubuskiego</w:t>
      </w:r>
    </w:p>
    <w:p w:rsidR="004709E3" w:rsidRPr="00662F03" w:rsidRDefault="004709E3" w:rsidP="006A1A22">
      <w:pPr>
        <w:spacing w:before="240"/>
        <w:jc w:val="both"/>
        <w:rPr>
          <w:rFonts w:ascii="Calibri" w:hAnsi="Calibri" w:cs="Calibri"/>
          <w:b/>
          <w:i/>
          <w:color w:val="17365D"/>
          <w:sz w:val="22"/>
          <w:szCs w:val="22"/>
        </w:rPr>
      </w:pPr>
      <w:r w:rsidRPr="00662F03">
        <w:rPr>
          <w:rFonts w:ascii="Calibri" w:hAnsi="Calibri" w:cs="Calibri"/>
          <w:b/>
          <w:i/>
          <w:color w:val="17365D"/>
          <w:sz w:val="22"/>
          <w:szCs w:val="22"/>
        </w:rPr>
        <w:t>Strategia rozwoju transportu województwa lubuskiego z horyzontem czasowym do 2015 r.</w:t>
      </w:r>
    </w:p>
    <w:p w:rsidR="004709E3" w:rsidRPr="00662F03" w:rsidRDefault="004709E3" w:rsidP="006A1A22">
      <w:pPr>
        <w:jc w:val="both"/>
        <w:rPr>
          <w:rFonts w:ascii="Calibri" w:hAnsi="Calibri" w:cs="Arial"/>
          <w:sz w:val="22"/>
          <w:szCs w:val="22"/>
        </w:rPr>
      </w:pPr>
      <w:r w:rsidRPr="00662F03">
        <w:rPr>
          <w:rFonts w:ascii="Calibri" w:hAnsi="Calibri" w:cs="Arial"/>
          <w:sz w:val="22"/>
          <w:szCs w:val="22"/>
        </w:rPr>
        <w:t xml:space="preserve">Obiektem badań niniejszego opracowania jest </w:t>
      </w:r>
      <w:r w:rsidRPr="00662F03">
        <w:rPr>
          <w:rFonts w:ascii="Calibri" w:hAnsi="Calibri" w:cs="Arial"/>
          <w:bCs/>
          <w:i/>
          <w:iCs/>
          <w:sz w:val="22"/>
          <w:szCs w:val="22"/>
        </w:rPr>
        <w:t xml:space="preserve">regionalny system transportowy </w:t>
      </w:r>
      <w:r w:rsidRPr="00662F03">
        <w:rPr>
          <w:rFonts w:ascii="Calibri" w:hAnsi="Calibri" w:cs="Arial"/>
          <w:sz w:val="22"/>
          <w:szCs w:val="22"/>
        </w:rPr>
        <w:t xml:space="preserve">w województwie obejmujący następujące jego rodzaje: </w:t>
      </w:r>
      <w:r w:rsidRPr="00662F03">
        <w:rPr>
          <w:rFonts w:ascii="Calibri" w:hAnsi="Calibri" w:cs="Arial"/>
          <w:bCs/>
          <w:i/>
          <w:iCs/>
          <w:sz w:val="22"/>
          <w:szCs w:val="22"/>
        </w:rPr>
        <w:t>transport kołowy, transport kolejowy,</w:t>
      </w:r>
      <w:r w:rsidRPr="00662F03">
        <w:rPr>
          <w:rFonts w:ascii="Calibri" w:hAnsi="Calibri" w:cs="Arial"/>
          <w:sz w:val="22"/>
          <w:szCs w:val="22"/>
        </w:rPr>
        <w:t xml:space="preserve"> </w:t>
      </w:r>
      <w:r w:rsidRPr="00662F03">
        <w:rPr>
          <w:rFonts w:ascii="Calibri" w:hAnsi="Calibri" w:cs="Arial"/>
          <w:bCs/>
          <w:i/>
          <w:iCs/>
          <w:sz w:val="22"/>
          <w:szCs w:val="22"/>
        </w:rPr>
        <w:t>transport wodny oraz transport lotniczy wraz z jego instytucjonalizacj</w:t>
      </w:r>
      <w:r w:rsidRPr="00662F03">
        <w:rPr>
          <w:rFonts w:ascii="Calibri" w:hAnsi="Calibri" w:cs="Arial"/>
          <w:sz w:val="22"/>
          <w:szCs w:val="22"/>
        </w:rPr>
        <w:t xml:space="preserve">ą. Na podstawie analizy stanu istniejącego, doświadczeń krajowych i zagranicznych określono prawdopodobne trendy rozwoju, możliwości jego wspomagania i instytucjonalizacji oraz sformułowano podstawowe wytyczne, które powinny być uwzględnione przy </w:t>
      </w:r>
      <w:r w:rsidRPr="00662F03">
        <w:rPr>
          <w:rFonts w:ascii="Calibri" w:hAnsi="Calibri" w:cs="Arial"/>
          <w:bCs/>
          <w:sz w:val="22"/>
          <w:szCs w:val="22"/>
        </w:rPr>
        <w:t>kreowaniu regionalnej polityki transportowej.</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Generalnym celem polityki transportowej jest osiągnięcie zrównoważonego systemu transportowego poprzez stworzenie warunków dla sprawnego i bezpiecznego przemieszczania osób i towarów.</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Cele strategiczne wynikające z obszarów strategicznych to: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1. Zwiększenie dostępności komunikacyjnej oraz dostępności usług transportowych dla społeczeństwa i gospodarki regionu oraz integracja sieci drogowej województwa z krajową i międzynarodową siecią transportową.</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2. Doskonalenie regionalnego transportu publicznego.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3. Usprawnienie zarządzania systemem transportu w województwie.</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Dla poszczególnych celów strategicznych sformułowano cele główne i operacyjne.</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Lubuska Regionalna Strategia Innowacji</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Lubuska Regionalna Strategia Innowacji została opracowana, aby budować przewagę konkurencyjną regionu poprzez rozwój potencjału naukowo-badawczego i kształtowanie kultury innowacyjności, co zostało zawarte w misji strategii. Docelową wizją rozwojową jest konkurencyjna i innowacyjna gospodarka regionalna oparta na efektywnie funkcjonującym Lubuskim Systemie Innowacji.</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Cele strategiczne wyznaczone do 2015 roku, to wzmocnienie innowacyjności regionalnego potencjału edukacyjnego i naukowo –badawczego, rozwój systemu innowacji oraz infrastruktury innowacyjnej w regionie oraz wzrost przedsiębiorczości i konkurencyjności regionu. Efektywną realizację LRSI zapewnić ma uproszczony system wdrażania, wspierający podejmowanie przedsięwzięć zgodnie z ustalonymi kartami zadań oraz system monitorowania, oparty na analizie wybranych wskaźników w obszarze innowacyjności.</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Lubuski Regionalny Program Operacyjny</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Lubuski Regionalny Program Operacyjny stanowi narzędzie do ubiegania się o środki pochodzące z Europejskiego Funduszu Rozwoju Regionalnego w latach 2007-2013 w województwie lubuskim.</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Głównym celem LRPO jest stworzenie warunków wzrostu konkurencyjności województwa poprzez wykorzystanie regionalnego potencjału endogenicznego oraz przeciwdziałanie marginalizacji zagrożonych obszarów, w tym obszarów wiejskich, przy racjonalnym gospodarowaniu zasobami i dążeniu do zapewnienia większej spójności województwa. Cel ten realizowany będzie poprzez pięć celów szczegółowych odpowiadających merytorycznym priorytetom programu:</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1. Rozwój infrastruktury wzmacniającej konkurencyjność regionu.</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lastRenderedPageBreak/>
        <w:t>2. Stymulowanie wzrostu inwestycji w przedsiębiorstwach i wzmocnienie potencjału innowacyjnego.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3. Ochrona i zarządzanie zasobami środowiska przyrodniczego.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4. Rozwój i modernizacja infrastruktury społecznej.</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5. Rozwój i modernizacja infrastruktury turystycznej i kulturowej.</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Realizacja LRPO oparta będzie na wykorzystaniu istniejącego potencjału regionu.</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Plan Zagospodarowania Przestrzennego Województwa Lubuskiego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Plan zagospodarowania przestrzennego województwa jest drugim dokumentem planistycznym, po strategii rozwoju województwa, którego obowiązek sporządzenia wynika z zapisów art. 54 b, ust. 2 ustawy o zagospodarowaniu przestrzennym i ustawy o samorządzie województwa.</w:t>
      </w:r>
    </w:p>
    <w:p w:rsidR="004709E3" w:rsidRPr="00662F03" w:rsidRDefault="004709E3" w:rsidP="004709E3">
      <w:pPr>
        <w:jc w:val="both"/>
        <w:rPr>
          <w:rFonts w:ascii="Calibri" w:hAnsi="Calibri" w:cs="Arial"/>
          <w:bCs/>
          <w:sz w:val="22"/>
          <w:szCs w:val="22"/>
        </w:rPr>
      </w:pPr>
      <w:r w:rsidRPr="00662F03">
        <w:rPr>
          <w:rFonts w:ascii="Calibri" w:hAnsi="Calibri" w:cs="Arial"/>
          <w:sz w:val="22"/>
          <w:szCs w:val="22"/>
        </w:rPr>
        <w:t xml:space="preserve">Generalny cel planu brzmi następująco: </w:t>
      </w:r>
      <w:r w:rsidRPr="00662F03">
        <w:rPr>
          <w:rFonts w:ascii="Calibri" w:hAnsi="Calibri" w:cs="Arial"/>
          <w:bCs/>
          <w:sz w:val="22"/>
          <w:szCs w:val="22"/>
        </w:rPr>
        <w:t>„Wypracowanie strategicznej koncepcji struktury przestrzennej regionu lubuskiego, z nawiązaniem do zewnętrznego otoczenia regionu oraz zapewnienie spójnych warunków przestrzennych w horyzoncie 2020/2025, które stworzą szansę generowania zrównoważonego rozwoju społeczno – gospodarczego i pozwolą na harmonijną adaptację w przestrzeni regionu celów współzależnej z koncepcją „Strategii Rozwoju Województwa Lubuskiego”.</w:t>
      </w:r>
    </w:p>
    <w:p w:rsidR="004709E3" w:rsidRPr="00662F03" w:rsidRDefault="004709E3" w:rsidP="004709E3">
      <w:pPr>
        <w:jc w:val="both"/>
        <w:rPr>
          <w:rFonts w:ascii="Calibri" w:hAnsi="Calibri" w:cs="Arial"/>
          <w:bCs/>
          <w:sz w:val="22"/>
          <w:szCs w:val="22"/>
        </w:rPr>
      </w:pPr>
      <w:r w:rsidRPr="00662F03">
        <w:rPr>
          <w:rFonts w:ascii="Calibri" w:hAnsi="Calibri" w:cs="Arial"/>
          <w:bCs/>
          <w:sz w:val="22"/>
          <w:szCs w:val="22"/>
        </w:rPr>
        <w:t>Cele główne to:</w:t>
      </w:r>
    </w:p>
    <w:p w:rsidR="004709E3" w:rsidRPr="00662F03" w:rsidRDefault="004709E3" w:rsidP="004709E3">
      <w:pPr>
        <w:jc w:val="both"/>
        <w:rPr>
          <w:rFonts w:ascii="Calibri" w:hAnsi="Calibri" w:cs="Arial"/>
          <w:bCs/>
          <w:sz w:val="22"/>
          <w:szCs w:val="22"/>
        </w:rPr>
      </w:pPr>
      <w:r w:rsidRPr="00662F03">
        <w:rPr>
          <w:rFonts w:ascii="Calibri" w:hAnsi="Calibri" w:cs="Arial"/>
          <w:bCs/>
          <w:sz w:val="22"/>
          <w:szCs w:val="22"/>
        </w:rPr>
        <w:t>1. Zapewnienie przestrzennej, gospodarczej i społecznej spójności regionu;</w:t>
      </w:r>
    </w:p>
    <w:p w:rsidR="004709E3" w:rsidRPr="00662F03" w:rsidRDefault="004709E3" w:rsidP="004709E3">
      <w:pPr>
        <w:jc w:val="both"/>
        <w:rPr>
          <w:rFonts w:ascii="Calibri" w:hAnsi="Calibri" w:cs="Arial"/>
          <w:sz w:val="22"/>
          <w:szCs w:val="22"/>
        </w:rPr>
      </w:pPr>
      <w:r w:rsidRPr="00662F03">
        <w:rPr>
          <w:rFonts w:ascii="Calibri" w:hAnsi="Calibri" w:cs="Arial"/>
          <w:bCs/>
          <w:sz w:val="22"/>
          <w:szCs w:val="22"/>
        </w:rPr>
        <w:t>2. Podniesienie poziomu wykształcenia społeczeństwa i zwiększenie potencjału innowacyjnego nauki i gospodarki;</w:t>
      </w:r>
    </w:p>
    <w:p w:rsidR="004709E3" w:rsidRPr="00662F03" w:rsidRDefault="004709E3" w:rsidP="004709E3">
      <w:pPr>
        <w:jc w:val="both"/>
        <w:rPr>
          <w:rFonts w:ascii="Calibri" w:hAnsi="Calibri" w:cs="Arial"/>
          <w:bCs/>
          <w:sz w:val="22"/>
          <w:szCs w:val="22"/>
        </w:rPr>
      </w:pPr>
      <w:r w:rsidRPr="00662F03">
        <w:rPr>
          <w:rFonts w:ascii="Calibri" w:hAnsi="Calibri" w:cs="Arial"/>
          <w:bCs/>
          <w:sz w:val="22"/>
          <w:szCs w:val="22"/>
        </w:rPr>
        <w:t>3. Rozwój przedsiębiorczości;</w:t>
      </w:r>
    </w:p>
    <w:p w:rsidR="004709E3" w:rsidRPr="00662F03" w:rsidRDefault="004709E3" w:rsidP="004709E3">
      <w:pPr>
        <w:jc w:val="both"/>
        <w:rPr>
          <w:rFonts w:ascii="Calibri" w:hAnsi="Calibri" w:cs="Arial"/>
          <w:sz w:val="22"/>
          <w:szCs w:val="22"/>
        </w:rPr>
      </w:pPr>
      <w:r w:rsidRPr="00662F03">
        <w:rPr>
          <w:rFonts w:ascii="Calibri" w:hAnsi="Calibri" w:cs="Arial"/>
          <w:bCs/>
          <w:sz w:val="22"/>
          <w:szCs w:val="22"/>
        </w:rPr>
        <w:t>4. Efektywne wykorzystanie zasobów środowiska naturalnego i kulturowego;</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Arial"/>
          <w:sz w:val="22"/>
          <w:szCs w:val="22"/>
        </w:rPr>
      </w:pPr>
      <w:r w:rsidRPr="00662F03">
        <w:rPr>
          <w:rFonts w:ascii="Calibri" w:hAnsi="Calibri" w:cs="Calibri"/>
          <w:b/>
          <w:i/>
          <w:color w:val="17365D"/>
          <w:sz w:val="22"/>
          <w:szCs w:val="22"/>
        </w:rPr>
        <w:t>Strategia Rozwoju Kraju 2007-2015</w:t>
      </w:r>
      <w:r w:rsidRPr="00662F03">
        <w:rPr>
          <w:rFonts w:ascii="Calibri" w:hAnsi="Calibri" w:cs="Arial"/>
          <w:sz w:val="22"/>
          <w:szCs w:val="22"/>
        </w:rPr>
        <w:t xml:space="preserve"> jest podstawowym dokumentem strategicznym określającym cele i priorytety polityki rozwoju w perspektywie najbliższych lat oraz warunki, które powinny ten rozwój zapewnić. Strategia Rozwoju Kraju jest nadrzędnym, wieloletnim dokumentem strategicznym rozwoju społeczno-gospodarczego kraju, stanowiącym punkt odniesienia zarówno dla innych strategi</w:t>
      </w:r>
      <w:r w:rsidR="00AA21BF" w:rsidRPr="00662F03">
        <w:rPr>
          <w:rFonts w:ascii="Calibri" w:hAnsi="Calibri" w:cs="Arial"/>
          <w:sz w:val="22"/>
          <w:szCs w:val="22"/>
        </w:rPr>
        <w:t xml:space="preserve">i i programów rządowych, jak i </w:t>
      </w:r>
      <w:r w:rsidRPr="00662F03">
        <w:rPr>
          <w:rFonts w:ascii="Calibri" w:hAnsi="Calibri" w:cs="Arial"/>
          <w:sz w:val="22"/>
          <w:szCs w:val="22"/>
        </w:rPr>
        <w:t>opracowywanych przez jednostki samorządu terytorialnego.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Głównym celem strategii jest podniesienie poziomu i jakości życia mieszkańców Polski: poszczególnych obywateli i rodzin.</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Przez podniesienie poziomu życia rozumiemy wzrost dochodów w sektorze gospodarstw domowych, ułatwienie dostępu do edukacji i szkolenia, co prowadzi do podwyższenia poziomu wykształcenia społeczeństwa i podnoszenia kwalifikacji obywateli, wzrost zatrudnienia i wydajności pracy, skutkujące zarówno obniżeniem bezrobocia, jak i zwiększeniem poziomu aktywności zawodowej oraz poprawę zdrowotności mieszkańców Polski.</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Przez podniesienie jakości życia rozumiemy istotną poprawę stanu i wzrost poczucia bezpieczeństwa wśród obywateli, możliwość korzystania z funkcjonalnej i łatwo dostępnej infrastruktury technicznej i społecznej, życie w czystym, zdrowym i sprzyjającym środowisku przyrodniczym, uczestnictwo w życiu demokratycznym, uczestnictwo w kulturze i turystyce, przynależność do zintegrowanej, pomocnej wspólnoty lokalnej, umożliwiającej lepszą harmonizację życia rodzinnego i zawodowego oraz aktywność w ramach społeczeństwa obywatelskiego.</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Priorytetami strategicznymi są:</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Wzrost konkurencyjności i innowacyjności gospodarki.</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Poprawa stanu infrastruktury technicznej i społecznej.</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Wzrost zatrudnienia i podniesienie jego jakości.</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Budowa zintegrowanej wspólnoty społecznej i jej bezpieczeństwa.</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Rozwój obszarów wiejskich.</w:t>
      </w:r>
    </w:p>
    <w:p w:rsidR="004709E3" w:rsidRPr="00662F03" w:rsidRDefault="004709E3" w:rsidP="00F71F0A">
      <w:pPr>
        <w:numPr>
          <w:ilvl w:val="0"/>
          <w:numId w:val="28"/>
        </w:numPr>
        <w:jc w:val="both"/>
        <w:rPr>
          <w:rFonts w:ascii="Calibri" w:hAnsi="Calibri" w:cs="Arial"/>
          <w:sz w:val="22"/>
          <w:szCs w:val="22"/>
        </w:rPr>
      </w:pPr>
      <w:r w:rsidRPr="00662F03">
        <w:rPr>
          <w:rFonts w:ascii="Calibri" w:hAnsi="Calibri" w:cs="Arial"/>
          <w:sz w:val="22"/>
          <w:szCs w:val="22"/>
        </w:rPr>
        <w:t>Rozwój regionalny i podniesienie spójności terytorialnej.</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Realizacja powyższych priorytetów będzie następować poprzez działania regulacyjne, decyzyjne i wdrożeniowe władz państwowych i administracji publicznej, jak i innych podmiotów życia społeczno-gospodarczego oraz system oceny postępu realizacji działań.</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lastRenderedPageBreak/>
        <w:t>Krajowa Strategia Rozwoju Regionalnego 2010-2020: Regiony, Miasta, Obszary wiejskie</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Strategia wyznacza cele polityki regionalnej wobec poszczególnych terytoriów w kraju, w tym w szczególności obszarów miejskich i wiejskich, oraz definiuje ich relacje w odniesieniu do innych polityk publicznych o wyraźnym terytorialnym ukierunkowaniu. Dokument ten określa także sposób działania podmiotów publicznych, a w szczególności rządu i samorządów województw dla osiągnięcia strategicznych celów rozwoju kraju.</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W dokumencie tym wyznaczone zostały trzy cele strategiczne:</w:t>
      </w:r>
    </w:p>
    <w:p w:rsidR="004709E3" w:rsidRPr="00662F03" w:rsidRDefault="004709E3" w:rsidP="00F71F0A">
      <w:pPr>
        <w:numPr>
          <w:ilvl w:val="0"/>
          <w:numId w:val="4"/>
        </w:numPr>
        <w:jc w:val="both"/>
        <w:rPr>
          <w:rFonts w:ascii="Calibri" w:hAnsi="Calibri" w:cs="Arial"/>
          <w:sz w:val="22"/>
          <w:szCs w:val="22"/>
        </w:rPr>
      </w:pPr>
      <w:r w:rsidRPr="00662F03">
        <w:rPr>
          <w:rFonts w:ascii="Calibri" w:hAnsi="Calibri" w:cs="Arial"/>
          <w:sz w:val="22"/>
          <w:szCs w:val="22"/>
        </w:rPr>
        <w:t>Konkurencyjność – wspieranie mocnych stron wszystkich miast wojewódzkich oraz ośrodków subregionalnych,</w:t>
      </w:r>
    </w:p>
    <w:p w:rsidR="004709E3" w:rsidRPr="00662F03" w:rsidRDefault="004709E3" w:rsidP="00F71F0A">
      <w:pPr>
        <w:numPr>
          <w:ilvl w:val="0"/>
          <w:numId w:val="4"/>
        </w:numPr>
        <w:jc w:val="both"/>
        <w:rPr>
          <w:rFonts w:ascii="Calibri" w:hAnsi="Calibri" w:cs="Arial"/>
          <w:sz w:val="22"/>
          <w:szCs w:val="22"/>
        </w:rPr>
      </w:pPr>
      <w:r w:rsidRPr="00662F03">
        <w:rPr>
          <w:rFonts w:ascii="Calibri" w:hAnsi="Calibri" w:cs="Arial"/>
          <w:sz w:val="22"/>
          <w:szCs w:val="22"/>
        </w:rPr>
        <w:t>Spójność – wsparcie obszarów, które wymagają dodatkowej pomocy, czyli województwa Polski Wschodniej, rewitalizowane miasta, obszary przygraniczne, miejsca o najniższej dostępności transportowej, jak również obszary wiejskie,</w:t>
      </w:r>
    </w:p>
    <w:p w:rsidR="004709E3" w:rsidRPr="00662F03" w:rsidRDefault="00AA21BF" w:rsidP="00F71F0A">
      <w:pPr>
        <w:numPr>
          <w:ilvl w:val="0"/>
          <w:numId w:val="4"/>
        </w:numPr>
        <w:jc w:val="both"/>
        <w:rPr>
          <w:rFonts w:ascii="Calibri" w:hAnsi="Calibri" w:cs="Arial"/>
          <w:sz w:val="22"/>
          <w:szCs w:val="22"/>
        </w:rPr>
      </w:pPr>
      <w:r w:rsidRPr="00662F03">
        <w:rPr>
          <w:rFonts w:ascii="Calibri" w:hAnsi="Calibri" w:cs="Arial"/>
          <w:sz w:val="22"/>
          <w:szCs w:val="22"/>
        </w:rPr>
        <w:t xml:space="preserve">Sprawność – potencjał </w:t>
      </w:r>
      <w:r w:rsidR="004709E3" w:rsidRPr="00662F03">
        <w:rPr>
          <w:rFonts w:ascii="Calibri" w:hAnsi="Calibri" w:cs="Arial"/>
          <w:sz w:val="22"/>
          <w:szCs w:val="22"/>
        </w:rPr>
        <w:t>administracyjny do tworzenie warunków dla skutecznej, efektywnej i partnerskiej realizacji działań rozwojowych, ukierunkowanych terytorialnie.</w:t>
      </w:r>
    </w:p>
    <w:p w:rsidR="004709E3" w:rsidRPr="00662F03" w:rsidRDefault="004709E3" w:rsidP="004709E3">
      <w:pPr>
        <w:autoSpaceDE w:val="0"/>
        <w:autoSpaceDN w:val="0"/>
        <w:adjustRightInd w:val="0"/>
        <w:jc w:val="both"/>
        <w:rPr>
          <w:rFonts w:ascii="Calibri" w:hAnsi="Calibri" w:cs="Cambria"/>
          <w:sz w:val="22"/>
          <w:szCs w:val="22"/>
        </w:rPr>
      </w:pPr>
      <w:r w:rsidRPr="00662F03">
        <w:rPr>
          <w:rFonts w:ascii="Calibri" w:hAnsi="Calibri" w:cs="Cambria"/>
          <w:sz w:val="22"/>
          <w:szCs w:val="22"/>
        </w:rPr>
        <w:t>Układ celów KSRR odzwierciedla podstawowe obszary oddziaływania KSRR do 2020 i tworzy triadę: konkurencyjność – spójność – sprawność, opierającą się na założeniach przekształcenia sposobu myślenia o roli polityki regionalnej i jej realizacji.</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Arial"/>
          <w:sz w:val="22"/>
          <w:szCs w:val="22"/>
        </w:rPr>
      </w:pPr>
      <w:r w:rsidRPr="00662F03">
        <w:rPr>
          <w:rFonts w:ascii="Calibri" w:hAnsi="Calibri" w:cs="Calibri"/>
          <w:b/>
          <w:i/>
          <w:color w:val="17365D"/>
          <w:sz w:val="22"/>
          <w:szCs w:val="22"/>
        </w:rPr>
        <w:t>Koncepcja Przestrzennego Zagospodarowania Kraju 2030</w:t>
      </w:r>
      <w:r w:rsidRPr="00662F03">
        <w:rPr>
          <w:rFonts w:ascii="Calibri" w:hAnsi="Calibri" w:cs="Arial"/>
          <w:sz w:val="22"/>
          <w:szCs w:val="22"/>
        </w:rPr>
        <w:t xml:space="preserve"> stanie się najważniejszym długookresowym, krajowym dokumentem strategicznym, dotyczącym zagospodarowania przestrzennego. Projekt KPZK 2030 został opracowany na podstawie ustawy o planowaniu i zagospodarowaniu przestrzennym z 2003 roku, jednocześnie wpisując się w zintegrowany system zarządzania rozwojem Polski. W projekcie przedstawiono wizję zagospodarowania przestrzennego kraju oraz sformułowano następujący cel strategiczny: "Efektywne wykorzystanie przestrzeni kraju i jej terytorialnie zróżnicowanych potencjałów rozwojowych dla osiągania ogólnych celów rozwojowych – konkurencyjności, zatrudnienia, sprawności funkcjonowania państwa oraz spójności w wymiarze społecznym, gospodarczym i terytorialnym w horyzoncie długookresowym".</w:t>
      </w:r>
    </w:p>
    <w:p w:rsidR="004709E3" w:rsidRPr="00662F03" w:rsidRDefault="004709E3" w:rsidP="004709E3">
      <w:pPr>
        <w:jc w:val="both"/>
        <w:rPr>
          <w:rFonts w:ascii="Calibri" w:hAnsi="Calibri" w:cs="Arial"/>
          <w:sz w:val="22"/>
          <w:szCs w:val="22"/>
        </w:rPr>
      </w:pPr>
      <w:r w:rsidRPr="00662F03">
        <w:rPr>
          <w:rFonts w:ascii="Calibri" w:hAnsi="Calibri" w:cs="Arial"/>
          <w:sz w:val="22"/>
          <w:szCs w:val="22"/>
        </w:rPr>
        <w:t>Aby osiągnąć cel strategiczny KPZK 2030 formułuje sześć celów polityki przestrzennego zagospodarowania kraju:</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Podwyższenie konkurencyjności głównych ośrodków miejskich Polski w przestrzeni europejskiej poprzez ich integrację funkcjonalną przy zachowaniu policentrycznej struktury systemu osadniczego sprzyjającej spójności;</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Poprawa spójności wewnętrznej kraju poprzez promowanie integracji funkcjonalnej, tworzenie warunków dla rozprzestrzeniania się czynników rozwoju oraz wykorzystanie potencjału wewnętrznego wszystkich terytoriów;</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Poprawa dostępności terytorialnej kraju w różnych skalach przestrzennych poprzez rozwijanie infrastruktury transportowej i telekomunikacyjnej;</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Kształtowanie struktur przestrzennych wspierających osiągnięcie i utrzymanie wysokiej jakości środowiska przyrodniczego i walorów krajobrazowych Polski;</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Zwiększenie odporności struktury przestrzennej kraju na zagrożenia naturalne i utraty bezpieczeństwa energetycznego oraz kształtowanie struktur przestrzennych wspierających zdolności obronne państwa;</w:t>
      </w:r>
    </w:p>
    <w:p w:rsidR="004709E3" w:rsidRPr="00662F03" w:rsidRDefault="004709E3" w:rsidP="00F71F0A">
      <w:pPr>
        <w:numPr>
          <w:ilvl w:val="0"/>
          <w:numId w:val="29"/>
        </w:numPr>
        <w:jc w:val="both"/>
        <w:rPr>
          <w:rFonts w:ascii="Calibri" w:hAnsi="Calibri" w:cs="Arial"/>
          <w:sz w:val="22"/>
          <w:szCs w:val="22"/>
        </w:rPr>
      </w:pPr>
      <w:r w:rsidRPr="00662F03">
        <w:rPr>
          <w:rFonts w:ascii="Calibri" w:hAnsi="Calibri" w:cs="Arial"/>
          <w:sz w:val="22"/>
          <w:szCs w:val="22"/>
        </w:rPr>
        <w:t>Przywrócenie i utrwalenie ładu przestrzennego.</w:t>
      </w:r>
    </w:p>
    <w:p w:rsidR="004709E3" w:rsidRPr="00662F03" w:rsidRDefault="004709E3" w:rsidP="004709E3">
      <w:pPr>
        <w:jc w:val="both"/>
        <w:rPr>
          <w:rFonts w:ascii="Calibri" w:hAnsi="Calibri" w:cs="Arial"/>
          <w:sz w:val="22"/>
          <w:szCs w:val="22"/>
        </w:rPr>
      </w:pPr>
    </w:p>
    <w:p w:rsidR="004709E3" w:rsidRPr="00662F03" w:rsidRDefault="004709E3" w:rsidP="004709E3">
      <w:pPr>
        <w:jc w:val="both"/>
        <w:rPr>
          <w:rFonts w:ascii="Calibri" w:hAnsi="Calibri" w:cs="Calibri"/>
          <w:b/>
          <w:i/>
          <w:color w:val="17365D"/>
          <w:sz w:val="22"/>
          <w:szCs w:val="22"/>
        </w:rPr>
      </w:pPr>
      <w:r w:rsidRPr="00662F03">
        <w:rPr>
          <w:rFonts w:ascii="Calibri" w:hAnsi="Calibri" w:cs="Calibri"/>
          <w:b/>
          <w:i/>
          <w:color w:val="17365D"/>
          <w:sz w:val="22"/>
          <w:szCs w:val="22"/>
        </w:rPr>
        <w:t>Narodowa Strategia Spójności - Narodowa Strategiczne Ramy Odniesienia dla Polski</w:t>
      </w:r>
    </w:p>
    <w:p w:rsidR="004709E3" w:rsidRPr="00662F03" w:rsidRDefault="004709E3" w:rsidP="004709E3">
      <w:pPr>
        <w:autoSpaceDE w:val="0"/>
        <w:autoSpaceDN w:val="0"/>
        <w:adjustRightInd w:val="0"/>
        <w:jc w:val="both"/>
        <w:rPr>
          <w:rFonts w:ascii="Calibri" w:hAnsi="Calibri" w:cs="Arial"/>
          <w:sz w:val="22"/>
          <w:szCs w:val="22"/>
        </w:rPr>
      </w:pPr>
      <w:r w:rsidRPr="00662F03">
        <w:rPr>
          <w:rFonts w:ascii="Calibri" w:hAnsi="Calibri" w:cs="Arial"/>
          <w:sz w:val="22"/>
          <w:szCs w:val="22"/>
        </w:rPr>
        <w:t>Dokument przedstawia analizę sytuacji społeczno-gospodarczej kraju i jej regionów, formułuje najważniejsze wyzwania dla kraju w perspektywie kolejnych lat oraz określa cele zmierzające do osiągnięcia spójności społeczno-gospodarczej i terytorialnej z krajami i regionami Wspólnoty, prezentuje alokację środków finansowych na poszczególne programy oraz ramy systemu realizacji. Celem strategicznym NSRO jest tworzenie warunków dla wzrostu konkurencyjności gospodarki opartej na wiedzy i przedsiębiorczości zapewniającej wzrost zatrudnienia oraz wzrost poziomu spójności społecznej, gospodarczej i przestrzennej.</w:t>
      </w:r>
    </w:p>
    <w:p w:rsidR="004709E3" w:rsidRPr="00662F03" w:rsidRDefault="004709E3" w:rsidP="004709E3">
      <w:pPr>
        <w:spacing w:line="276" w:lineRule="auto"/>
        <w:jc w:val="both"/>
        <w:rPr>
          <w:rFonts w:ascii="Calibri" w:hAnsi="Calibri"/>
          <w:sz w:val="22"/>
          <w:szCs w:val="22"/>
        </w:rPr>
      </w:pPr>
      <w:r w:rsidRPr="00662F03">
        <w:rPr>
          <w:rFonts w:ascii="Calibri" w:hAnsi="Calibri"/>
          <w:sz w:val="22"/>
          <w:szCs w:val="22"/>
        </w:rPr>
        <w:lastRenderedPageBreak/>
        <w:t>Cel strategiczny osiągany będzie poprzez realizację horyzontalnych celów szczegółowych, którymi są:</w:t>
      </w:r>
    </w:p>
    <w:p w:rsidR="004709E3" w:rsidRPr="00662F03" w:rsidRDefault="004709E3" w:rsidP="002E6D83">
      <w:pPr>
        <w:jc w:val="both"/>
        <w:rPr>
          <w:rFonts w:ascii="Calibri" w:hAnsi="Calibri"/>
          <w:sz w:val="22"/>
          <w:szCs w:val="22"/>
        </w:rPr>
      </w:pPr>
      <w:r w:rsidRPr="00662F03">
        <w:rPr>
          <w:rFonts w:ascii="Calibri" w:hAnsi="Calibri"/>
          <w:sz w:val="22"/>
          <w:szCs w:val="22"/>
        </w:rPr>
        <w:t>1. Poprawa jakości funkcjonowania instytucji publicznych oraz rozbudowa mechanizmów partnerstwa,</w:t>
      </w:r>
    </w:p>
    <w:p w:rsidR="004709E3" w:rsidRPr="00662F03" w:rsidRDefault="004709E3" w:rsidP="002E6D83">
      <w:pPr>
        <w:jc w:val="both"/>
        <w:rPr>
          <w:rFonts w:ascii="Calibri" w:hAnsi="Calibri"/>
          <w:sz w:val="22"/>
          <w:szCs w:val="22"/>
        </w:rPr>
      </w:pPr>
      <w:r w:rsidRPr="00662F03">
        <w:rPr>
          <w:rFonts w:ascii="Calibri" w:hAnsi="Calibri"/>
          <w:sz w:val="22"/>
          <w:szCs w:val="22"/>
        </w:rPr>
        <w:t>2. Poprawa jakości kapitału ludzkiego i zwiększenie spójności społecznej,</w:t>
      </w:r>
    </w:p>
    <w:p w:rsidR="004709E3" w:rsidRPr="00662F03" w:rsidRDefault="004709E3" w:rsidP="002E6D83">
      <w:pPr>
        <w:jc w:val="both"/>
        <w:rPr>
          <w:rFonts w:ascii="Calibri" w:hAnsi="Calibri"/>
          <w:sz w:val="22"/>
          <w:szCs w:val="22"/>
        </w:rPr>
      </w:pPr>
      <w:r w:rsidRPr="00662F03">
        <w:rPr>
          <w:rFonts w:ascii="Calibri" w:hAnsi="Calibri"/>
          <w:sz w:val="22"/>
          <w:szCs w:val="22"/>
        </w:rPr>
        <w:t>3. Budowa i modernizacja infrastruktury technicznej i społecznej mającej podstawowe znaczenie dla wzrostu konkurencyjności Polski,</w:t>
      </w:r>
    </w:p>
    <w:p w:rsidR="004709E3" w:rsidRPr="00662F03" w:rsidRDefault="004709E3" w:rsidP="002E6D83">
      <w:pPr>
        <w:jc w:val="both"/>
        <w:rPr>
          <w:rFonts w:ascii="Calibri" w:hAnsi="Calibri"/>
          <w:sz w:val="22"/>
          <w:szCs w:val="22"/>
        </w:rPr>
      </w:pPr>
      <w:r w:rsidRPr="00662F03">
        <w:rPr>
          <w:rFonts w:ascii="Calibri" w:hAnsi="Calibri"/>
          <w:sz w:val="22"/>
          <w:szCs w:val="22"/>
        </w:rPr>
        <w:t>4. Podniesienie konkurencyjności i innowacyjności przedsiębiorstw, w tym szczególnie sektora wytwórczego o wysokiej wartości dodanej oraz rozwój sektora usług,</w:t>
      </w:r>
    </w:p>
    <w:p w:rsidR="004709E3" w:rsidRPr="00662F03" w:rsidRDefault="004709E3" w:rsidP="002E6D83">
      <w:pPr>
        <w:jc w:val="both"/>
        <w:rPr>
          <w:rFonts w:ascii="Calibri" w:hAnsi="Calibri"/>
          <w:sz w:val="22"/>
          <w:szCs w:val="22"/>
        </w:rPr>
      </w:pPr>
      <w:r w:rsidRPr="00662F03">
        <w:rPr>
          <w:rFonts w:ascii="Calibri" w:hAnsi="Calibri"/>
          <w:sz w:val="22"/>
          <w:szCs w:val="22"/>
        </w:rPr>
        <w:t>5. Wzrost konkurencyjności polskich regionów i przeciwdziałanie ich marginalizacji społecznej, gospodarczej i przestrzennej,</w:t>
      </w:r>
    </w:p>
    <w:p w:rsidR="004709E3" w:rsidRPr="00662F03" w:rsidRDefault="004709E3" w:rsidP="002E6D83">
      <w:pPr>
        <w:jc w:val="both"/>
        <w:rPr>
          <w:rFonts w:ascii="Calibri" w:hAnsi="Calibri"/>
          <w:sz w:val="22"/>
          <w:szCs w:val="22"/>
        </w:rPr>
      </w:pPr>
      <w:r w:rsidRPr="00662F03">
        <w:rPr>
          <w:rFonts w:ascii="Calibri" w:hAnsi="Calibri"/>
          <w:sz w:val="22"/>
          <w:szCs w:val="22"/>
        </w:rPr>
        <w:t>6. Wyrównywanie szans rozwojowych i wspomaganie zmian strukturalnych na obszarach wiejskich.</w:t>
      </w:r>
    </w:p>
    <w:p w:rsidR="00072369" w:rsidRDefault="00072369" w:rsidP="006A1A22">
      <w:pPr>
        <w:spacing w:before="240"/>
        <w:jc w:val="both"/>
        <w:rPr>
          <w:rFonts w:ascii="Calibri" w:hAnsi="Calibri" w:cs="Calibri"/>
          <w:b/>
          <w:i/>
          <w:color w:val="17365D"/>
          <w:sz w:val="22"/>
        </w:rPr>
      </w:pPr>
      <w:r>
        <w:rPr>
          <w:rFonts w:ascii="Calibri" w:hAnsi="Calibri" w:cs="Calibri"/>
          <w:b/>
          <w:i/>
          <w:noProof/>
          <w:color w:val="17365D"/>
          <w:sz w:val="22"/>
        </w:rPr>
      </w:r>
      <w:r>
        <w:rPr>
          <w:rFonts w:ascii="Calibri" w:hAnsi="Calibri" w:cs="Calibri"/>
          <w:b/>
          <w:i/>
          <w:color w:val="17365D"/>
          <w:sz w:val="22"/>
        </w:rPr>
        <w:pict>
          <v:rect id="_x0000_s1061"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61;mso-fit-shape-to-text:t" inset="28.8pt,7.2pt,14.4pt,28.8pt">
              <w:txbxContent>
                <w:p w:rsidR="00072369" w:rsidRPr="00EC0E96" w:rsidRDefault="00072369" w:rsidP="00072369">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072369" w:rsidRPr="00EC0E96" w:rsidRDefault="00072369" w:rsidP="00072369">
                  <w:pPr>
                    <w:jc w:val="both"/>
                    <w:rPr>
                      <w:rFonts w:ascii="Calibri" w:hAnsi="Calibri"/>
                      <w:i/>
                      <w:iCs/>
                      <w:color w:val="1F497D"/>
                      <w:sz w:val="22"/>
                      <w:szCs w:val="28"/>
                    </w:rPr>
                  </w:pPr>
                  <w:r>
                    <w:rPr>
                      <w:rFonts w:ascii="Calibri" w:hAnsi="Calibri"/>
                      <w:i/>
                      <w:iCs/>
                      <w:color w:val="1F497D"/>
                      <w:sz w:val="22"/>
                      <w:szCs w:val="28"/>
                    </w:rPr>
                    <w:t>Zestawienie zawiera obowiązujące strategiczne dokumenty wskazujące kierunki rozwoju województwa lubuskiego. Opracowanie kierunków rozwoju Miasta Nowa Sól musi się wpisywać w cele i priorytety rozwoju regionu, nakreślone w ogólnych dokumentach rozwoju województwa.</w:t>
                  </w:r>
                </w:p>
              </w:txbxContent>
            </v:textbox>
            <w10:wrap type="none" anchorx="margin" anchory="page"/>
            <w10:anchorlock/>
          </v:rect>
        </w:pict>
      </w:r>
    </w:p>
    <w:p w:rsidR="00072369" w:rsidRDefault="00072369" w:rsidP="006A1A22">
      <w:pPr>
        <w:spacing w:before="240"/>
        <w:jc w:val="both"/>
        <w:rPr>
          <w:rFonts w:ascii="Calibri" w:hAnsi="Calibri" w:cs="Calibri"/>
          <w:b/>
          <w:i/>
          <w:color w:val="17365D"/>
          <w:sz w:val="22"/>
        </w:rPr>
      </w:pPr>
    </w:p>
    <w:p w:rsidR="00391184" w:rsidRPr="00072369" w:rsidRDefault="00072369" w:rsidP="00072369">
      <w:pPr>
        <w:pStyle w:val="Nagwek2"/>
        <w:numPr>
          <w:ilvl w:val="0"/>
          <w:numId w:val="49"/>
        </w:numPr>
        <w:rPr>
          <w:color w:val="365F91" w:themeColor="accent1" w:themeShade="BF"/>
          <w:sz w:val="22"/>
        </w:rPr>
      </w:pPr>
      <w:bookmarkStart w:id="94" w:name="_Toc316395273"/>
      <w:r>
        <w:rPr>
          <w:color w:val="365F91" w:themeColor="accent1" w:themeShade="BF"/>
          <w:sz w:val="22"/>
        </w:rPr>
        <w:t>d</w:t>
      </w:r>
      <w:r w:rsidRPr="00072369">
        <w:rPr>
          <w:color w:val="365F91" w:themeColor="accent1" w:themeShade="BF"/>
          <w:sz w:val="22"/>
        </w:rPr>
        <w:t>okumentów transgranicznych i ponadregionalnych</w:t>
      </w:r>
      <w:bookmarkEnd w:id="94"/>
    </w:p>
    <w:p w:rsidR="002404E3" w:rsidRPr="00662F03" w:rsidRDefault="002404E3" w:rsidP="006A1A22">
      <w:pPr>
        <w:spacing w:before="240"/>
        <w:jc w:val="both"/>
        <w:rPr>
          <w:rFonts w:ascii="Calibri" w:hAnsi="Calibri" w:cs="Calibri"/>
          <w:b/>
          <w:i/>
          <w:color w:val="17365D"/>
          <w:sz w:val="22"/>
        </w:rPr>
      </w:pPr>
      <w:r w:rsidRPr="00662F03">
        <w:rPr>
          <w:rFonts w:ascii="Calibri" w:hAnsi="Calibri" w:cs="Calibri"/>
          <w:b/>
          <w:i/>
          <w:color w:val="17365D"/>
          <w:sz w:val="22"/>
        </w:rPr>
        <w:t>Program Współpracy Transgranicznej Polska (Województwo Lubuskie) – Brandenburgia</w:t>
      </w:r>
    </w:p>
    <w:p w:rsidR="002404E3" w:rsidRPr="00662F03" w:rsidRDefault="002404E3" w:rsidP="006A1A22">
      <w:pPr>
        <w:shd w:val="clear" w:color="auto" w:fill="FFFFFF"/>
        <w:jc w:val="both"/>
        <w:outlineLvl w:val="3"/>
        <w:rPr>
          <w:rFonts w:ascii="Calibri" w:hAnsi="Calibri" w:cs="Tahoma"/>
          <w:sz w:val="22"/>
          <w:szCs w:val="22"/>
        </w:rPr>
      </w:pPr>
      <w:r w:rsidRPr="00662F03">
        <w:rPr>
          <w:rFonts w:ascii="Calibri" w:hAnsi="Calibri" w:cs="Tahoma"/>
          <w:sz w:val="22"/>
          <w:szCs w:val="22"/>
        </w:rPr>
        <w:t>Głównym celem programu jest: „Pokonywać granice: redukcja niedogodności spowodowanych położeniem przygranicznym i wspólny rozwój regionu Polska (Wojewódz</w:t>
      </w:r>
      <w:r w:rsidR="006A1A22">
        <w:rPr>
          <w:rFonts w:ascii="Calibri" w:hAnsi="Calibri" w:cs="Tahoma"/>
          <w:sz w:val="22"/>
          <w:szCs w:val="22"/>
        </w:rPr>
        <w:t>two Lubuskie) – Brandenburgia”.</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Cele szczegółowe Programu to:</w:t>
      </w:r>
    </w:p>
    <w:p w:rsidR="002404E3" w:rsidRPr="00662F03" w:rsidRDefault="002404E3" w:rsidP="00F71F0A">
      <w:pPr>
        <w:numPr>
          <w:ilvl w:val="0"/>
          <w:numId w:val="36"/>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Poprawa uwarunkowań infrastrukturalnych oraz stanu środowiska. </w:t>
      </w:r>
    </w:p>
    <w:p w:rsidR="002404E3" w:rsidRPr="00662F03" w:rsidRDefault="002404E3" w:rsidP="00F71F0A">
      <w:pPr>
        <w:numPr>
          <w:ilvl w:val="0"/>
          <w:numId w:val="36"/>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Rozbudowa powiązań gospodarczych oraz współpracy sektorów gospodarki i nauki. </w:t>
      </w:r>
    </w:p>
    <w:p w:rsidR="002404E3" w:rsidRPr="00662F03" w:rsidRDefault="002404E3" w:rsidP="00F71F0A">
      <w:pPr>
        <w:numPr>
          <w:ilvl w:val="0"/>
          <w:numId w:val="36"/>
        </w:numPr>
        <w:shd w:val="clear" w:color="auto" w:fill="FFFFFF"/>
        <w:jc w:val="both"/>
        <w:outlineLvl w:val="3"/>
        <w:rPr>
          <w:rFonts w:ascii="Calibri" w:hAnsi="Calibri" w:cs="Tahoma"/>
          <w:sz w:val="22"/>
          <w:szCs w:val="22"/>
        </w:rPr>
      </w:pPr>
      <w:r w:rsidRPr="00662F03">
        <w:rPr>
          <w:rFonts w:ascii="Calibri" w:hAnsi="Calibri" w:cs="Tahoma"/>
          <w:sz w:val="22"/>
          <w:szCs w:val="22"/>
        </w:rPr>
        <w:t>Wspieranie dalszego rozwoju zasobów ludzkich i rozbudowa transgranicznej kooperacji.</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Zasięg terytorialny programu:</w:t>
      </w:r>
    </w:p>
    <w:p w:rsidR="002404E3" w:rsidRPr="00662F03" w:rsidRDefault="002404E3" w:rsidP="00F71F0A">
      <w:pPr>
        <w:numPr>
          <w:ilvl w:val="0"/>
          <w:numId w:val="37"/>
        </w:numPr>
        <w:shd w:val="clear" w:color="auto" w:fill="FFFFFF"/>
        <w:jc w:val="both"/>
        <w:outlineLvl w:val="3"/>
        <w:rPr>
          <w:rFonts w:ascii="Calibri" w:hAnsi="Calibri" w:cs="Tahoma"/>
          <w:sz w:val="22"/>
          <w:szCs w:val="22"/>
        </w:rPr>
      </w:pPr>
      <w:r w:rsidRPr="00662F03">
        <w:rPr>
          <w:rFonts w:ascii="Calibri" w:hAnsi="Calibri" w:cs="Tahoma"/>
          <w:sz w:val="22"/>
          <w:szCs w:val="22"/>
        </w:rPr>
        <w:t>po stronie polskiej: podregion gorzowski (w skład którego wchodzą powiaty: gorzowski, międzyrzecki, słubicki, strzelecko – drezdenecki, sulęciński i miasto na prawach powiatu Gorzów Wielkopolski),podregion zielonogórski (w skład którego wchodzą powiaty: krośnieński, nowosolski, świebodziński, zielonogórski, żagański, żarski, wschowski i miasto na prawach powiatu Zielona Góra);</w:t>
      </w:r>
    </w:p>
    <w:p w:rsidR="002404E3" w:rsidRPr="00662F03" w:rsidRDefault="002404E3" w:rsidP="00F71F0A">
      <w:pPr>
        <w:numPr>
          <w:ilvl w:val="0"/>
          <w:numId w:val="37"/>
        </w:numPr>
        <w:shd w:val="clear" w:color="auto" w:fill="FFFFFF"/>
        <w:jc w:val="both"/>
        <w:outlineLvl w:val="3"/>
        <w:rPr>
          <w:rFonts w:ascii="Calibri" w:hAnsi="Calibri" w:cs="Tahoma"/>
          <w:sz w:val="22"/>
          <w:szCs w:val="22"/>
        </w:rPr>
      </w:pPr>
      <w:r w:rsidRPr="00662F03">
        <w:rPr>
          <w:rFonts w:ascii="Calibri" w:hAnsi="Calibri" w:cs="Tahoma"/>
          <w:sz w:val="22"/>
          <w:szCs w:val="22"/>
        </w:rPr>
        <w:t>po stronie niemieckiej: powiaty: Märkisch-Oderland, Oder-Spree, Spree-Neiße, oraz dwa miasta na prawach powiatu: Frankfurt (Oder), Cottbus.</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Priorytety Programu:</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Priorytet 1. Wspieranie infrastruktury oraz poprawa stanu środowiska</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1.1: Budowa i poprawa infrastruktury</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1.2: Ochrona i gospodarowanie zasobami naturalnymi i kulturowymi oraz ochrona przeciwpożarowa i usuwanie skutków katastrof oraz zapobieganie im.</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1.3: Rozwój regionalny i planowanie regionalne oraz rozwój między jednostkami samorządu terytorialnego.</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Priorytet 2. Wspieranie powiązań gospodarczych oraz współpracy sektorów gospodarki i nauki</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2.1: Działania wpierające gospodarkę</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lastRenderedPageBreak/>
        <w:t>Działanie 2.2: Regionalny i lokalny marketing</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2.3: Wpieranie sieci i kooperacja w zakresie B+R</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Priorytet 3. Wspieranie dalszego rozwoju zasobów ludzkich i transgranicznej kooperacji</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3.1: Wspieranie projektów z zakresu kształcenia oraz zatrudnienia</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3.2: Współpraca i spotkania (FMP i projekty sieciowe)</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Priorytet 4. Pomoc Techniczna</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4.1: Przygotowanie, realizacja, monitoring, ocena i kontrola interwencji</w:t>
      </w:r>
    </w:p>
    <w:p w:rsidR="002404E3" w:rsidRPr="00662F03" w:rsidRDefault="002404E3" w:rsidP="004E11D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Działanie 4.2: Działania uzupełniające Pomoc Techniczną</w:t>
      </w:r>
    </w:p>
    <w:p w:rsidR="002404E3" w:rsidRPr="00662F03" w:rsidRDefault="002404E3" w:rsidP="004E11D3">
      <w:pPr>
        <w:shd w:val="clear" w:color="auto" w:fill="FFFFFF"/>
        <w:spacing w:line="276" w:lineRule="auto"/>
        <w:jc w:val="both"/>
        <w:outlineLvl w:val="3"/>
        <w:rPr>
          <w:rFonts w:ascii="Calibri" w:hAnsi="Calibri" w:cs="Tahoma"/>
          <w:sz w:val="22"/>
          <w:szCs w:val="22"/>
        </w:rPr>
      </w:pPr>
    </w:p>
    <w:p w:rsidR="002404E3" w:rsidRPr="00662F03" w:rsidRDefault="002404E3" w:rsidP="002404E3">
      <w:pPr>
        <w:jc w:val="both"/>
        <w:rPr>
          <w:rFonts w:ascii="Calibri" w:hAnsi="Calibri" w:cs="Calibri"/>
          <w:b/>
          <w:i/>
          <w:color w:val="17365D"/>
          <w:sz w:val="22"/>
        </w:rPr>
      </w:pPr>
      <w:r w:rsidRPr="00662F03">
        <w:rPr>
          <w:rFonts w:ascii="Calibri" w:hAnsi="Calibri" w:cs="Calibri"/>
          <w:b/>
          <w:i/>
          <w:color w:val="17365D"/>
          <w:sz w:val="22"/>
        </w:rPr>
        <w:t>Program Operacyjny Współpracy Transgranicznej Polska (Województwo Dolnośląskie i Lubuskie) – Saksonia 2007-2013</w:t>
      </w:r>
    </w:p>
    <w:p w:rsidR="002404E3" w:rsidRPr="00662F03" w:rsidRDefault="002404E3" w:rsidP="002404E3">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Program Operacyjny Współpracy Transgranicznej Polska - Saksonia 2007 – 2013 zastępuje dotychczasowy unijny Program Inicjatywy Wspólnotowej Interreg III A Wolny Kraj Związkowy Saksonia – Rzeczpospolita Polska (Województwo Dolnośląskie) 2000 - 2006. Ze środków Unii Europejskiej (UE) w ramach Programu Operacyjnego mogą być dofinansowane projekty transgraniczne dotyczące różnych obszarów życia gospodarczego i społecznego.</w:t>
      </w:r>
    </w:p>
    <w:p w:rsidR="002404E3" w:rsidRPr="00662F03" w:rsidRDefault="002404E3" w:rsidP="002404E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Głównym celem Programu jest wspieranie zrównoważonego rozwoju polsko</w:t>
      </w:r>
      <w:r w:rsidR="00AA21BF" w:rsidRPr="00662F03">
        <w:rPr>
          <w:rFonts w:ascii="Calibri" w:hAnsi="Calibri" w:cs="Tahoma"/>
          <w:sz w:val="22"/>
          <w:szCs w:val="22"/>
        </w:rPr>
        <w:t xml:space="preserve">-saksońskiego obszaru wsparcia </w:t>
      </w:r>
      <w:r w:rsidRPr="00662F03">
        <w:rPr>
          <w:rFonts w:ascii="Calibri" w:hAnsi="Calibri" w:cs="Tahoma"/>
          <w:sz w:val="22"/>
          <w:szCs w:val="22"/>
        </w:rPr>
        <w:t>w celu wzmocnienia jego spójności gospodarczej i społecznej.</w:t>
      </w:r>
    </w:p>
    <w:p w:rsidR="002404E3" w:rsidRPr="00662F03" w:rsidRDefault="002404E3" w:rsidP="002404E3">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W Programie zostały zdefiniowane dwa cele szczegółowe:</w:t>
      </w:r>
    </w:p>
    <w:p w:rsidR="002404E3" w:rsidRPr="00662F03" w:rsidRDefault="002404E3" w:rsidP="004E11D3">
      <w:pPr>
        <w:numPr>
          <w:ilvl w:val="0"/>
          <w:numId w:val="40"/>
        </w:numPr>
        <w:shd w:val="clear" w:color="auto" w:fill="FFFFFF"/>
        <w:jc w:val="both"/>
        <w:outlineLvl w:val="3"/>
        <w:rPr>
          <w:rFonts w:ascii="Calibri" w:hAnsi="Calibri" w:cs="Tahoma"/>
          <w:sz w:val="22"/>
          <w:szCs w:val="22"/>
        </w:rPr>
      </w:pPr>
      <w:r w:rsidRPr="00662F03">
        <w:rPr>
          <w:rFonts w:ascii="Calibri" w:hAnsi="Calibri" w:cs="Tahoma"/>
          <w:sz w:val="22"/>
          <w:szCs w:val="22"/>
        </w:rPr>
        <w:t>„Zapewnienie konkurencyjności obszaru wsparcia poprzez wyrównanie warunków ramowych w celu likwidowania zróżnicowań strukturalnych i gospodarczych”,</w:t>
      </w:r>
    </w:p>
    <w:p w:rsidR="002404E3" w:rsidRPr="00662F03" w:rsidRDefault="002404E3" w:rsidP="004E11D3">
      <w:pPr>
        <w:numPr>
          <w:ilvl w:val="0"/>
          <w:numId w:val="40"/>
        </w:numPr>
        <w:shd w:val="clear" w:color="auto" w:fill="FFFFFF"/>
        <w:jc w:val="both"/>
        <w:outlineLvl w:val="3"/>
        <w:rPr>
          <w:rFonts w:ascii="Calibri" w:hAnsi="Calibri" w:cs="Tahoma"/>
          <w:sz w:val="22"/>
          <w:szCs w:val="22"/>
        </w:rPr>
      </w:pPr>
      <w:r w:rsidRPr="00662F03">
        <w:rPr>
          <w:rFonts w:ascii="Calibri" w:hAnsi="Calibri" w:cs="Tahoma"/>
          <w:sz w:val="22"/>
          <w:szCs w:val="22"/>
        </w:rPr>
        <w:t>„Utożsamianie się mieszkańców z obszarem wsparcia dzięki wzmocnieniu współpracy”.</w:t>
      </w:r>
    </w:p>
    <w:p w:rsidR="002404E3" w:rsidRPr="00662F03" w:rsidRDefault="002404E3" w:rsidP="004E11D3">
      <w:pPr>
        <w:shd w:val="clear" w:color="auto" w:fill="FFFFFF"/>
        <w:jc w:val="both"/>
        <w:outlineLvl w:val="3"/>
        <w:rPr>
          <w:rFonts w:ascii="Calibri" w:hAnsi="Calibri" w:cs="Tahoma"/>
          <w:sz w:val="22"/>
          <w:szCs w:val="22"/>
        </w:rPr>
      </w:pPr>
      <w:r w:rsidRPr="00662F03">
        <w:rPr>
          <w:rFonts w:ascii="Calibri" w:hAnsi="Calibri" w:cs="Tahoma"/>
          <w:sz w:val="22"/>
          <w:szCs w:val="22"/>
        </w:rPr>
        <w:t>Obszar wsparcia programu obejmuje:</w:t>
      </w:r>
    </w:p>
    <w:p w:rsidR="002404E3" w:rsidRPr="00662F03" w:rsidRDefault="002404E3" w:rsidP="004E11D3">
      <w:pPr>
        <w:numPr>
          <w:ilvl w:val="0"/>
          <w:numId w:val="39"/>
        </w:numPr>
        <w:shd w:val="clear" w:color="auto" w:fill="FFFFFF"/>
        <w:jc w:val="both"/>
        <w:outlineLvl w:val="3"/>
        <w:rPr>
          <w:rFonts w:ascii="Calibri" w:hAnsi="Calibri" w:cs="Tahoma"/>
          <w:sz w:val="22"/>
          <w:szCs w:val="22"/>
        </w:rPr>
      </w:pPr>
      <w:r w:rsidRPr="00662F03">
        <w:rPr>
          <w:rFonts w:ascii="Calibri" w:hAnsi="Calibri" w:cs="Tahoma"/>
          <w:sz w:val="22"/>
          <w:szCs w:val="22"/>
        </w:rPr>
        <w:t>po stronie polskiej:</w:t>
      </w:r>
    </w:p>
    <w:p w:rsidR="002404E3" w:rsidRPr="00662F03" w:rsidRDefault="002404E3" w:rsidP="004E11D3">
      <w:pPr>
        <w:numPr>
          <w:ilvl w:val="0"/>
          <w:numId w:val="38"/>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w województwie dolnośląskim: podregion jeleniogórsko-wałbrzyski tj. powiaty: zgorzelecki, bolesławiecki, lubański, lwówecki, złotoryjski, jeleniogórski, kamiennogórski, jaworski, wałbrzyski, świdnicki, ząbkowicki, kłodzki, dzierżoniowski, strzeliński oraz miasto na prawach powiatu Jelenia Góra; </w:t>
      </w:r>
    </w:p>
    <w:p w:rsidR="002404E3" w:rsidRPr="00662F03" w:rsidRDefault="002404E3" w:rsidP="004E11D3">
      <w:pPr>
        <w:numPr>
          <w:ilvl w:val="0"/>
          <w:numId w:val="38"/>
        </w:numPr>
        <w:shd w:val="clear" w:color="auto" w:fill="FFFFFF"/>
        <w:jc w:val="both"/>
        <w:outlineLvl w:val="3"/>
        <w:rPr>
          <w:rFonts w:ascii="Calibri" w:hAnsi="Calibri" w:cs="Tahoma"/>
          <w:sz w:val="22"/>
          <w:szCs w:val="22"/>
        </w:rPr>
      </w:pPr>
      <w:r w:rsidRPr="00662F03">
        <w:rPr>
          <w:rFonts w:ascii="Calibri" w:hAnsi="Calibri" w:cs="Tahoma"/>
          <w:sz w:val="22"/>
          <w:szCs w:val="22"/>
        </w:rPr>
        <w:t>w województwie lubuskim: podregion zielonogórski tj. powiaty: żarski, żagański, krośnieński, zielonogórski, nowosolski, wschowski, świebodziński oraz miasto Zielona Góra;</w:t>
      </w:r>
    </w:p>
    <w:p w:rsidR="002404E3" w:rsidRPr="00662F03" w:rsidRDefault="002404E3" w:rsidP="004E11D3">
      <w:pPr>
        <w:numPr>
          <w:ilvl w:val="0"/>
          <w:numId w:val="39"/>
        </w:numPr>
        <w:shd w:val="clear" w:color="auto" w:fill="FFFFFF"/>
        <w:jc w:val="both"/>
        <w:outlineLvl w:val="3"/>
        <w:rPr>
          <w:rFonts w:ascii="Calibri" w:hAnsi="Calibri" w:cs="Tahoma"/>
          <w:sz w:val="22"/>
          <w:szCs w:val="22"/>
        </w:rPr>
      </w:pPr>
      <w:r w:rsidRPr="00662F03">
        <w:rPr>
          <w:rFonts w:ascii="Calibri" w:hAnsi="Calibri" w:cs="Tahoma"/>
          <w:sz w:val="22"/>
          <w:szCs w:val="22"/>
        </w:rPr>
        <w:t>po stronie niemieckiej: powiat Görlitz (w skład którego wchodzą dawne powiaty: Niederschlesischer Oberlausitzkreis, Löbau-Zittau, jak również miasto na prawach powiatu Görlitz).</w:t>
      </w:r>
    </w:p>
    <w:p w:rsidR="002404E3" w:rsidRPr="00662F03" w:rsidRDefault="002404E3" w:rsidP="002404E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Do obszaru wsparcia zgodnie z regułą elastyczności został zaliczony Powiat Bautzen ( w skład którego wchodzą dawne powiaty: Kamenz i Bautzen oraz miasto na prawach powiatu – Hoyerswerda) Zgodnie z regułą elastyczności na projekty, które są realizowane na tym obszarze może zostać przeznaczonych maksymalnie 20 proc. środków Programu.</w:t>
      </w:r>
    </w:p>
    <w:p w:rsidR="002404E3" w:rsidRPr="00662F03" w:rsidRDefault="002404E3" w:rsidP="002404E3">
      <w:pPr>
        <w:shd w:val="clear" w:color="auto" w:fill="FFFFFF"/>
        <w:spacing w:before="150" w:after="75"/>
        <w:jc w:val="both"/>
        <w:outlineLvl w:val="3"/>
        <w:rPr>
          <w:rFonts w:ascii="Calibri" w:hAnsi="Calibri" w:cs="Tahoma"/>
          <w:sz w:val="22"/>
          <w:szCs w:val="22"/>
        </w:rPr>
      </w:pPr>
    </w:p>
    <w:p w:rsidR="002404E3" w:rsidRPr="00662F03" w:rsidRDefault="002404E3" w:rsidP="002404E3">
      <w:pPr>
        <w:jc w:val="both"/>
        <w:rPr>
          <w:rFonts w:ascii="Calibri" w:hAnsi="Calibri" w:cs="Calibri"/>
          <w:b/>
          <w:i/>
          <w:color w:val="17365D"/>
          <w:sz w:val="22"/>
        </w:rPr>
      </w:pPr>
      <w:r w:rsidRPr="00662F03">
        <w:rPr>
          <w:rFonts w:ascii="Calibri" w:hAnsi="Calibri" w:cs="Calibri"/>
          <w:b/>
          <w:i/>
          <w:color w:val="17365D"/>
          <w:sz w:val="22"/>
        </w:rPr>
        <w:t>Projekt/założenia Strategii Rozwoju Polski Zachodniej na lata 2014-2020</w:t>
      </w:r>
    </w:p>
    <w:p w:rsidR="002404E3" w:rsidRPr="00662F03" w:rsidRDefault="002404E3" w:rsidP="002404E3">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W 2010 roku zostało zawarte porozumienie między województwami: dolnośląskim, lubuskim, opolskim, wielkopolskim i zachodniopomorskim w sprawie podjęcia wspólnych prac nad Strategią i Programem Operacyjnym Rozwoju Polski Zachodniej. Strony Porozumienia zobowiązały się podjąć wspólne prace prowadzące do opracowania ponadregionalnej Strategii Rozwoju Polski Zachodniej 2020, której powstanie stworzy podstawę przyjęcia Programu Operacyjnego Rozwój Polski Zachodniej 2014-2020.</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Priorytetowymi obszarami wsparcia w Strategii i Programie Operacyjnym będą:</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Komunikacja</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Społeczeństwo informacyjne</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lastRenderedPageBreak/>
        <w:t>Nauka oraz jej współpraca z gospodarką</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Bezpieczeństwo energetyczne</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Zasoby wodne i ochrona przeciwpowodziowa</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Planowanie przestrzenne i rozwój miast</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Turystyka</w:t>
      </w:r>
    </w:p>
    <w:p w:rsidR="002404E3" w:rsidRPr="00662F03" w:rsidRDefault="002404E3" w:rsidP="00CE2C6A">
      <w:pPr>
        <w:numPr>
          <w:ilvl w:val="0"/>
          <w:numId w:val="41"/>
        </w:numPr>
        <w:shd w:val="clear" w:color="auto" w:fill="FFFFFF"/>
        <w:jc w:val="both"/>
        <w:outlineLvl w:val="3"/>
        <w:rPr>
          <w:rFonts w:ascii="Calibri" w:hAnsi="Calibri" w:cs="Tahoma"/>
          <w:sz w:val="22"/>
          <w:szCs w:val="22"/>
        </w:rPr>
      </w:pPr>
      <w:r w:rsidRPr="00662F03">
        <w:rPr>
          <w:rFonts w:ascii="Calibri" w:hAnsi="Calibri" w:cs="Tahoma"/>
          <w:sz w:val="22"/>
          <w:szCs w:val="22"/>
        </w:rPr>
        <w:t>Inne obszary wsparcia uzgodnione przez Marszałków</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Przyjęto ramowy harmonogram prac przy realizacji Porozumienia:</w:t>
      </w:r>
    </w:p>
    <w:p w:rsidR="002404E3" w:rsidRPr="00662F03" w:rsidRDefault="002404E3" w:rsidP="00CE2C6A">
      <w:pPr>
        <w:numPr>
          <w:ilvl w:val="0"/>
          <w:numId w:val="42"/>
        </w:numPr>
        <w:shd w:val="clear" w:color="auto" w:fill="FFFFFF"/>
        <w:jc w:val="both"/>
        <w:outlineLvl w:val="3"/>
        <w:rPr>
          <w:rFonts w:ascii="Calibri" w:hAnsi="Calibri" w:cs="Tahoma"/>
          <w:sz w:val="22"/>
          <w:szCs w:val="22"/>
        </w:rPr>
      </w:pPr>
      <w:r w:rsidRPr="00662F03">
        <w:rPr>
          <w:rFonts w:ascii="Calibri" w:hAnsi="Calibri" w:cs="Tahoma"/>
          <w:sz w:val="22"/>
          <w:szCs w:val="22"/>
        </w:rPr>
        <w:t>Diagnoza Polski Zachodniej (od września 2010 do września 2011)</w:t>
      </w:r>
    </w:p>
    <w:p w:rsidR="002404E3" w:rsidRPr="00662F03" w:rsidRDefault="002404E3" w:rsidP="00CE2C6A">
      <w:pPr>
        <w:numPr>
          <w:ilvl w:val="0"/>
          <w:numId w:val="42"/>
        </w:numPr>
        <w:shd w:val="clear" w:color="auto" w:fill="FFFFFF"/>
        <w:jc w:val="both"/>
        <w:outlineLvl w:val="3"/>
        <w:rPr>
          <w:rFonts w:ascii="Calibri" w:hAnsi="Calibri" w:cs="Tahoma"/>
          <w:sz w:val="22"/>
          <w:szCs w:val="22"/>
        </w:rPr>
      </w:pPr>
      <w:r w:rsidRPr="00662F03">
        <w:rPr>
          <w:rFonts w:ascii="Calibri" w:hAnsi="Calibri" w:cs="Tahoma"/>
          <w:sz w:val="22"/>
          <w:szCs w:val="22"/>
        </w:rPr>
        <w:t>Strategia Rozwoju Polski Zachodniej 2020 (od IV kwartału 2010 do II kwartału 2012)</w:t>
      </w:r>
    </w:p>
    <w:p w:rsidR="002404E3" w:rsidRPr="00662F03" w:rsidRDefault="002404E3" w:rsidP="00CE2C6A">
      <w:pPr>
        <w:numPr>
          <w:ilvl w:val="0"/>
          <w:numId w:val="42"/>
        </w:numPr>
        <w:shd w:val="clear" w:color="auto" w:fill="FFFFFF"/>
        <w:jc w:val="both"/>
        <w:outlineLvl w:val="3"/>
        <w:rPr>
          <w:rFonts w:ascii="Calibri" w:hAnsi="Calibri" w:cs="Tahoma"/>
          <w:sz w:val="22"/>
          <w:szCs w:val="22"/>
        </w:rPr>
      </w:pPr>
      <w:r w:rsidRPr="00662F03">
        <w:rPr>
          <w:rFonts w:ascii="Calibri" w:hAnsi="Calibri" w:cs="Tahoma"/>
          <w:sz w:val="22"/>
          <w:szCs w:val="22"/>
        </w:rPr>
        <w:t>Program Operacyjny Rozwój Polski Zachodniej 2014-2020 (od 2012 do 2013 r.).</w:t>
      </w:r>
    </w:p>
    <w:p w:rsidR="00EB062B" w:rsidRDefault="00EB062B" w:rsidP="002404E3">
      <w:pPr>
        <w:shd w:val="clear" w:color="auto" w:fill="FFFFFF"/>
        <w:spacing w:before="150" w:after="75"/>
        <w:jc w:val="both"/>
        <w:outlineLvl w:val="3"/>
        <w:rPr>
          <w:rFonts w:ascii="Calibri" w:hAnsi="Calibri" w:cs="Tahoma"/>
          <w:sz w:val="22"/>
          <w:szCs w:val="22"/>
        </w:rPr>
      </w:pPr>
    </w:p>
    <w:p w:rsidR="00EB062B" w:rsidRPr="00072369" w:rsidRDefault="00EB062B" w:rsidP="00072369">
      <w:pPr>
        <w:pStyle w:val="Nagwek2"/>
        <w:numPr>
          <w:ilvl w:val="0"/>
          <w:numId w:val="49"/>
        </w:numPr>
        <w:rPr>
          <w:color w:val="365F91" w:themeColor="accent1" w:themeShade="BF"/>
          <w:sz w:val="22"/>
        </w:rPr>
      </w:pPr>
      <w:bookmarkStart w:id="95" w:name="_Toc316395274"/>
      <w:r w:rsidRPr="00072369">
        <w:rPr>
          <w:color w:val="365F91" w:themeColor="accent1" w:themeShade="BF"/>
          <w:sz w:val="22"/>
        </w:rPr>
        <w:t>strategicznych dokumentów UE</w:t>
      </w:r>
      <w:bookmarkEnd w:id="95"/>
    </w:p>
    <w:p w:rsidR="002404E3" w:rsidRPr="00662F03" w:rsidRDefault="002404E3" w:rsidP="002404E3">
      <w:pPr>
        <w:jc w:val="both"/>
        <w:rPr>
          <w:rFonts w:ascii="Calibri" w:hAnsi="Calibri" w:cs="Calibri"/>
          <w:b/>
          <w:i/>
          <w:color w:val="17365D"/>
          <w:sz w:val="22"/>
        </w:rPr>
      </w:pPr>
      <w:r w:rsidRPr="00662F03">
        <w:rPr>
          <w:rFonts w:ascii="Calibri" w:hAnsi="Calibri" w:cs="Calibri"/>
          <w:b/>
          <w:i/>
          <w:color w:val="17365D"/>
          <w:sz w:val="22"/>
        </w:rPr>
        <w:t>EUROPA 2020 Strategia na rzecz inteligentnego i zrównoważonego rozwoju sprzyjającego włączeniu społecznemu</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Strategia Europa 2020 obejmuje trzy wzajemnie ze sobą powiązane priorytety:</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rozwój inteligentny: rozwój gospodarki opartej na wiedzy i innowacji;</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rozwój zrównoważony: wspieranie gospodarki efektywniej korzystającej z zasobów, bardziej przyjaznej środowisku i bardziej konkurencyjnej;</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rozwój sprzyjający włączeniu społecznemu: wspieranie gospodarki o wysokim poziomie zatrudnienia, zapewniającej spójność społeczną i terytorialną.</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Ich realizacja będzie możliwa dzięki osiągnięciu nadrzędnych, wymiernych celów przez UE:</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wskaźnik zatrudnienia osób w wieku 20-64 lat powinien wynosić 75%;</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na inwestycje w badania i rozwój należy przeznaczać 3% PKB Unii;</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należy osiągnąć cele „20/20/20” w zakresie klimatu i energii (w tym ograniczenie emisji</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dwutlenku węgla nawet o 30%, jeśli pozwolą na to warunki);</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liczbę osób przedwcześnie kończących naukę szkolną należy ograniczyć do 10%, a co</w:t>
      </w:r>
      <w:r w:rsidR="00AA21BF" w:rsidRPr="00662F03">
        <w:rPr>
          <w:rFonts w:ascii="Calibri" w:hAnsi="Calibri" w:cs="Tahoma"/>
          <w:sz w:val="22"/>
          <w:szCs w:val="22"/>
        </w:rPr>
        <w:t xml:space="preserve"> </w:t>
      </w:r>
      <w:r w:rsidRPr="00662F03">
        <w:rPr>
          <w:rFonts w:ascii="Calibri" w:hAnsi="Calibri" w:cs="Tahoma"/>
          <w:sz w:val="22"/>
          <w:szCs w:val="22"/>
        </w:rPr>
        <w:t>najmniej 40% osób z młodego pokolenia powinno zdobywać wyższe wykształcenie;</w:t>
      </w:r>
    </w:p>
    <w:p w:rsidR="002404E3" w:rsidRPr="00662F03" w:rsidRDefault="002404E3" w:rsidP="00CE2C6A">
      <w:pPr>
        <w:shd w:val="clear" w:color="auto" w:fill="FFFFFF"/>
        <w:jc w:val="both"/>
        <w:outlineLvl w:val="3"/>
        <w:rPr>
          <w:rFonts w:ascii="Calibri" w:hAnsi="Calibri" w:cs="Tahoma"/>
          <w:sz w:val="22"/>
          <w:szCs w:val="22"/>
        </w:rPr>
      </w:pPr>
      <w:r w:rsidRPr="00662F03">
        <w:rPr>
          <w:rFonts w:ascii="Calibri" w:hAnsi="Calibri" w:cs="Tahoma"/>
          <w:sz w:val="22"/>
          <w:szCs w:val="22"/>
        </w:rPr>
        <w:t>– liczbę osób zagrożonych ubóstwem należy zmniejszyć o 20 mln.</w:t>
      </w:r>
    </w:p>
    <w:p w:rsidR="002404E3" w:rsidRPr="00662F03" w:rsidRDefault="002404E3" w:rsidP="002404E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Powyższe wymierne cele są ze sobą wzajemnie powiązane i to właśnie od ich osiągnięcia zależeć będzie sukces. Aby każde państwo członkowskie mogło dopasować strategię Europa 2020 do swojej szczególnej sytuacji, Komisja proponuje, aby powyższe wymierne cele unijne przełożyć na krajowe cele i metody działania.</w:t>
      </w:r>
    </w:p>
    <w:p w:rsidR="002404E3" w:rsidRPr="00662F03" w:rsidRDefault="002404E3" w:rsidP="002404E3">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Powyższe cele szczegółowe wpisują się w realizację trzech ogólnych priorytetów – rozwoju inteligentnego, zrównoważonego i sprzyjającego włączeniu społecznemu. Ich lista nie jest jednak wyczerpująca: aby je urzeczywistnić, potrzebne będą liczne działania prowadzone na poziomie krajowym, unijnym i międzynarodowym. Komisja przedstawia siedem projektów przewodnich, które umożliwią postępy w ramach każdego z priorytetów tematycznych:</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„Unia innowacji” – projekt na rzecz poprawy warunków ramowych i dostępu do finansowania badań i innowacji, tak by innowacyjne pomysły przeradzały się w nowe produkty i usługi, które z kolei przyczynią się do wzrostu gospodarczego i tworzenia nowych miejsc pracy;</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„Młodzież w drodze” – projekt na rzecz poprawy wyników systemów kształcenia oraz ułatwiania młodzieży wejścia na rynek pracy;</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„Europejska agenda cyfrowa” – projekt na rzecz upowszechnienia szybkiego Internetu i umożliwienia gospodarstwom domowym i przedsiębiorstwom czerpania korzyści z jednolitego rynku cyfrowego;</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„Europa efektywnie korzystająca z zasobów” – projekt na rzecz uniezależnienia wzrostu gospodarczego od wykorzystania zasobów, przejścia na gospodarkę niskoemisyjną, większego wykorzystania odnawialnych źródeł energii, modernizacji transportu oraz propagowania efektywności energetycznej;</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lastRenderedPageBreak/>
        <w:t>– „Polityka przemysłowa w erze globalizacji” – projekt na rzecz poprawy otoczenia biznesu, szczególnie w odniesieniu do MŚP, oraz wspierania rozwoju silnej i zrównoważonej bazy przemysłowej, przygotowanej do konkurowania na rynkach światowych;</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„Program na rzecz nowych umiejętności i zatrudnienia” – projekt na rzecz modernizacji rynków pracy i wzmocnienia pozycji obywateli poprzez rozwój kwalifikacji przez całe życie w celu zwiększenia współczynnika aktywności zawodowej i lepszego dopasowania popytu do podaży na rynku pracy, między innymi dzięki mobilności siły roboczej;</w:t>
      </w:r>
    </w:p>
    <w:p w:rsidR="002404E3" w:rsidRPr="00662F03" w:rsidRDefault="002404E3" w:rsidP="002404E3">
      <w:pPr>
        <w:shd w:val="clear" w:color="auto" w:fill="FFFFFF"/>
        <w:jc w:val="both"/>
        <w:outlineLvl w:val="3"/>
        <w:rPr>
          <w:rFonts w:ascii="Calibri" w:hAnsi="Calibri" w:cs="Tahoma"/>
          <w:sz w:val="22"/>
          <w:szCs w:val="22"/>
        </w:rPr>
      </w:pPr>
      <w:r w:rsidRPr="00662F03">
        <w:rPr>
          <w:rFonts w:ascii="Calibri" w:hAnsi="Calibri" w:cs="Tahoma"/>
          <w:sz w:val="22"/>
          <w:szCs w:val="22"/>
        </w:rPr>
        <w:t>– „Europejski program walki z ubóstwem” – projekt na rzecz zapewnienia spójności społecznej i terytorialnej, tak aby korzyści płynące ze wzrostu gospodarczego i zatrudnienia były szeroko dostępne, a osoby ubogie i wykluczone społecznie mogły żyć godnie i aktywnie uczestniczyć w życiu społeczeństwa.</w:t>
      </w:r>
    </w:p>
    <w:p w:rsidR="002404E3" w:rsidRPr="00662F03" w:rsidRDefault="002404E3" w:rsidP="002404E3">
      <w:pPr>
        <w:shd w:val="clear" w:color="auto" w:fill="FFFFFF"/>
        <w:jc w:val="both"/>
        <w:outlineLvl w:val="3"/>
        <w:rPr>
          <w:rFonts w:ascii="Calibri" w:hAnsi="Calibri" w:cs="Tahoma"/>
          <w:sz w:val="22"/>
          <w:szCs w:val="22"/>
        </w:rPr>
      </w:pPr>
    </w:p>
    <w:p w:rsidR="002404E3" w:rsidRPr="00662F03" w:rsidRDefault="002404E3" w:rsidP="002404E3">
      <w:pPr>
        <w:jc w:val="both"/>
        <w:rPr>
          <w:rFonts w:ascii="Calibri" w:hAnsi="Calibri" w:cs="Calibri"/>
          <w:b/>
          <w:i/>
          <w:color w:val="17365D"/>
          <w:sz w:val="22"/>
        </w:rPr>
      </w:pPr>
      <w:r w:rsidRPr="00662F03">
        <w:rPr>
          <w:rFonts w:ascii="Calibri" w:hAnsi="Calibri" w:cs="Calibri"/>
          <w:b/>
          <w:i/>
          <w:color w:val="17365D"/>
          <w:sz w:val="22"/>
        </w:rPr>
        <w:t>Strategia Lizbońska</w:t>
      </w:r>
    </w:p>
    <w:p w:rsidR="002404E3" w:rsidRPr="00662F03" w:rsidRDefault="002404E3" w:rsidP="002404E3">
      <w:pPr>
        <w:shd w:val="clear" w:color="auto" w:fill="FFFFFF"/>
        <w:spacing w:after="75"/>
        <w:jc w:val="both"/>
        <w:outlineLvl w:val="3"/>
        <w:rPr>
          <w:rFonts w:ascii="Calibri" w:hAnsi="Calibri" w:cs="Tahoma"/>
          <w:sz w:val="22"/>
          <w:szCs w:val="22"/>
        </w:rPr>
      </w:pPr>
      <w:r w:rsidRPr="00662F03">
        <w:rPr>
          <w:rFonts w:ascii="Calibri" w:hAnsi="Calibri" w:cs="Tahoma"/>
          <w:sz w:val="22"/>
          <w:szCs w:val="22"/>
        </w:rPr>
        <w:t>Głównym celem Strategii Lizbońskiej jest stworzenie na terytorium Europy, do roku 2010, najbardziej konkurencyjnej gospodarki na świecie. Sama strategia skupia się na czterech kwestiach: innowacyjności (gospodarka oparta o wiedzę), liberalizacji (rynków telekomunikacji, energii, transportu oraz rynków finansowych), przedsiębiorczości (ułatwienia w zakładaniu i prowadzeniu działalności gospodarczej) oraz spójności społecznej (kształtowanie nowego aktywnego państwa socjalnego). Zdecydowana większość działań podejmowanych w zakresie strategii lizbońskiej związana jest z modernizacją polityki zatrudnienia oraz kreowaniem pozytywnych zmian na rynku pracy. Podstawowym przesłaniem jest ułatwienie prowadzenia działalności gospodarczej, szczególnie w sektorze małych i średnich przedsiębiorstw, a więc tam gdzie tworzonych jest najwięcej nowych miejsc pracy. Zgodnie z wytycznymi strategii lizbońskiej, w celu zaspokojenia potrzeb nowoczesnych gospodarek państw członkowskich konieczne jest również przemodelowanie systemu kształcenia w taki sposób, aby możliwe było stworzenie modelu gospodarczego opartego o wiedzę.</w:t>
      </w:r>
    </w:p>
    <w:p w:rsidR="0037001F" w:rsidRPr="00662F03" w:rsidRDefault="0037001F" w:rsidP="006A1A22">
      <w:pPr>
        <w:spacing w:before="240"/>
        <w:jc w:val="both"/>
        <w:rPr>
          <w:rFonts w:ascii="Calibri" w:hAnsi="Calibri" w:cs="Calibri"/>
          <w:b/>
          <w:i/>
          <w:color w:val="17365D"/>
          <w:sz w:val="22"/>
        </w:rPr>
      </w:pPr>
      <w:r w:rsidRPr="00662F03">
        <w:rPr>
          <w:rFonts w:ascii="Calibri" w:hAnsi="Calibri" w:cs="Calibri"/>
          <w:b/>
          <w:i/>
          <w:color w:val="17365D"/>
          <w:sz w:val="22"/>
        </w:rPr>
        <w:t>Karta Lipska na rzecz Zrównoważonych Miast</w:t>
      </w:r>
    </w:p>
    <w:p w:rsidR="0037001F" w:rsidRPr="00662F03" w:rsidRDefault="0037001F" w:rsidP="006A1A22">
      <w:pPr>
        <w:shd w:val="clear" w:color="auto" w:fill="FFFFFF"/>
        <w:jc w:val="both"/>
        <w:outlineLvl w:val="3"/>
        <w:rPr>
          <w:rFonts w:ascii="Calibri" w:hAnsi="Calibri" w:cs="Tahoma"/>
          <w:sz w:val="22"/>
          <w:szCs w:val="22"/>
        </w:rPr>
      </w:pPr>
      <w:r w:rsidRPr="00662F03">
        <w:rPr>
          <w:rFonts w:ascii="Calibri" w:hAnsi="Calibri" w:cs="Tahoma"/>
          <w:sz w:val="22"/>
          <w:szCs w:val="22"/>
        </w:rPr>
        <w:t>Karta Lipska jest dokumentem zawierającym ramy oraz powszechne zasady i strategie polityki rozwoju miast. Karta, sporządzona przy szerokim udziale zainteresowanych stron i instytucji europejskich, została przyjęta na Nieformalnym Spotkaniu Ministrów Państw Członkowskich Unii Europejskiej ds. Rozwoju Miast i Spójności Terytorialnej, które odbyło się w 2007 roku w Lipsku. Karta Lipska zawiera szereg zaleceń, które mają przyczynić się do rozwoju miast europejskich. Ministrowie zalecają w niej m.in.:</w:t>
      </w:r>
    </w:p>
    <w:p w:rsidR="0037001F" w:rsidRPr="00662F03" w:rsidRDefault="0037001F" w:rsidP="0037001F">
      <w:pPr>
        <w:shd w:val="clear" w:color="auto" w:fill="FFFFFF"/>
        <w:jc w:val="both"/>
        <w:outlineLvl w:val="3"/>
        <w:rPr>
          <w:rFonts w:ascii="Calibri" w:hAnsi="Calibri" w:cs="Tahoma"/>
          <w:sz w:val="22"/>
          <w:szCs w:val="22"/>
        </w:rPr>
      </w:pPr>
      <w:r w:rsidRPr="00662F03">
        <w:rPr>
          <w:rFonts w:ascii="Calibri" w:hAnsi="Calibri" w:cs="Tahoma"/>
          <w:sz w:val="22"/>
          <w:szCs w:val="22"/>
        </w:rPr>
        <w:t>1) w większym stopniu wykorzystywać zintegrowane strategie rozwoju miast</w:t>
      </w:r>
    </w:p>
    <w:p w:rsidR="0037001F" w:rsidRPr="00662F03" w:rsidRDefault="0037001F" w:rsidP="0037001F">
      <w:pPr>
        <w:shd w:val="clear" w:color="auto" w:fill="FFFFFF"/>
        <w:jc w:val="both"/>
        <w:outlineLvl w:val="3"/>
        <w:rPr>
          <w:rFonts w:ascii="Calibri" w:hAnsi="Calibri" w:cs="Tahoma"/>
          <w:sz w:val="22"/>
          <w:szCs w:val="22"/>
        </w:rPr>
      </w:pPr>
      <w:r w:rsidRPr="00662F03">
        <w:rPr>
          <w:rFonts w:ascii="Calibri" w:hAnsi="Calibri" w:cs="Tahoma"/>
          <w:sz w:val="22"/>
          <w:szCs w:val="22"/>
        </w:rPr>
        <w:t>W ramach polityki zintegrowanego rozwoju miast ważne są przede wszystkim następujące strategie działania:</w:t>
      </w:r>
    </w:p>
    <w:p w:rsidR="0037001F" w:rsidRPr="00662F03" w:rsidRDefault="0037001F" w:rsidP="002E6D83">
      <w:pPr>
        <w:numPr>
          <w:ilvl w:val="0"/>
          <w:numId w:val="47"/>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tworzenie i zapewnianie wysokiej jakości przestrzenni publicznych - modernizacja sieci infrastrukturalnych oraz poprawa efektywności energetycznej, </w:t>
      </w:r>
    </w:p>
    <w:p w:rsidR="0037001F" w:rsidRPr="00662F03" w:rsidRDefault="0037001F" w:rsidP="002E6D83">
      <w:pPr>
        <w:numPr>
          <w:ilvl w:val="0"/>
          <w:numId w:val="47"/>
        </w:numPr>
        <w:shd w:val="clear" w:color="auto" w:fill="FFFFFF"/>
        <w:jc w:val="both"/>
        <w:outlineLvl w:val="3"/>
        <w:rPr>
          <w:rFonts w:ascii="Calibri" w:hAnsi="Calibri" w:cs="Tahoma"/>
          <w:sz w:val="22"/>
          <w:szCs w:val="22"/>
        </w:rPr>
      </w:pPr>
      <w:r w:rsidRPr="00662F03">
        <w:rPr>
          <w:rFonts w:ascii="Calibri" w:hAnsi="Calibri" w:cs="Tahoma"/>
          <w:sz w:val="22"/>
          <w:szCs w:val="22"/>
        </w:rPr>
        <w:t>aktywna polityka innowacyjna i edukacyjna.</w:t>
      </w:r>
    </w:p>
    <w:p w:rsidR="0037001F" w:rsidRPr="00662F03" w:rsidRDefault="0037001F" w:rsidP="002E6D8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 xml:space="preserve">2) zwrócić szczególną uwagę na dzielnice zdegradowane w kontekście miasta jako całości </w:t>
      </w:r>
    </w:p>
    <w:p w:rsidR="0037001F" w:rsidRPr="00662F03" w:rsidRDefault="0037001F" w:rsidP="002E6D8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W ramach polityki zintegrowanego rozwoju miast ważne jest w tym aspekcie:</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utrwalanie urbanistycznych strategii oceny, </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wzmacnianie gospodarki lokalnej i lokalnej polityki rynku pracy, </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wspieranie aktywnej polityki edukacyjnej i szkoleniowej dla dzieci i młodzieży, </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wspieranie skutecznego i cenowo przystępnego transportu miejskiego.</w:t>
      </w:r>
    </w:p>
    <w:p w:rsidR="0037001F" w:rsidRPr="00662F03" w:rsidRDefault="0037001F" w:rsidP="002E6D83">
      <w:pPr>
        <w:shd w:val="clear" w:color="auto" w:fill="FFFFFF"/>
        <w:spacing w:line="276" w:lineRule="auto"/>
        <w:jc w:val="both"/>
        <w:outlineLvl w:val="3"/>
        <w:rPr>
          <w:rFonts w:ascii="Calibri" w:hAnsi="Calibri" w:cs="Tahoma"/>
          <w:sz w:val="22"/>
          <w:szCs w:val="22"/>
        </w:rPr>
      </w:pPr>
      <w:r w:rsidRPr="00662F03">
        <w:rPr>
          <w:rFonts w:ascii="Calibri" w:hAnsi="Calibri" w:cs="Tahoma"/>
          <w:sz w:val="22"/>
          <w:szCs w:val="22"/>
        </w:rPr>
        <w:t>Ministrowie podkreślili w Karcie Lipskiej, że:</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polityka rozwoju miast powinna być określona na poziomie krajowym, </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władze lokalne powinny rozwinąć umiejętności konieczne do wdrażania polityki zintegrowanego rozwoju miast, </w:t>
      </w:r>
    </w:p>
    <w:p w:rsidR="0037001F" w:rsidRPr="00662F0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resorty rządowe aktywne w obszarze rozwoju miejskiego lub mające wpływ na rozwój miejski muszą lepiej połączyć i skoordynować swoje działania, </w:t>
      </w:r>
    </w:p>
    <w:p w:rsidR="0037001F" w:rsidRPr="00295383" w:rsidRDefault="0037001F" w:rsidP="002E6D83">
      <w:pPr>
        <w:numPr>
          <w:ilvl w:val="0"/>
          <w:numId w:val="4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lastRenderedPageBreak/>
        <w:t>podkreślone zostało znaczenie systematycznej i ustrukturyzowanej wymiany doświadczeń i wiedzy w obszarze zrównoważonego rozwoju miast.</w:t>
      </w:r>
    </w:p>
    <w:p w:rsidR="0037001F" w:rsidRPr="00662F03" w:rsidRDefault="0037001F" w:rsidP="002E6D83">
      <w:pPr>
        <w:shd w:val="clear" w:color="auto" w:fill="FFFFFF"/>
        <w:jc w:val="both"/>
        <w:outlineLvl w:val="3"/>
        <w:rPr>
          <w:rFonts w:ascii="Calibri" w:hAnsi="Calibri" w:cs="Tahoma"/>
          <w:sz w:val="22"/>
          <w:szCs w:val="22"/>
        </w:rPr>
      </w:pPr>
      <w:r w:rsidRPr="00662F03">
        <w:rPr>
          <w:rFonts w:ascii="Calibri" w:hAnsi="Calibri" w:cs="Tahoma"/>
          <w:sz w:val="22"/>
          <w:szCs w:val="22"/>
        </w:rPr>
        <w:t>Ministrowie zobowiązali się w Karcie Lipskiej ponadto do:</w:t>
      </w:r>
    </w:p>
    <w:p w:rsidR="0037001F" w:rsidRPr="00662F03" w:rsidRDefault="0037001F" w:rsidP="002E6D83">
      <w:pPr>
        <w:numPr>
          <w:ilvl w:val="0"/>
          <w:numId w:val="47"/>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zainicjowania w swoich krajach debaty politycznej celem ustalenia sposobu adaptacji strategii zawartych w Karcie Lipskiej do krajowych, regionalnych i lokalnych polityk rozwoju, </w:t>
      </w:r>
    </w:p>
    <w:p w:rsidR="0037001F" w:rsidRPr="00662F03" w:rsidRDefault="0037001F" w:rsidP="002E6D83">
      <w:pPr>
        <w:numPr>
          <w:ilvl w:val="0"/>
          <w:numId w:val="47"/>
        </w:numPr>
        <w:shd w:val="clear" w:color="auto" w:fill="FFFFFF"/>
        <w:jc w:val="both"/>
        <w:outlineLvl w:val="3"/>
        <w:rPr>
          <w:rFonts w:ascii="Calibri" w:hAnsi="Calibri" w:cs="Tahoma"/>
          <w:sz w:val="22"/>
          <w:szCs w:val="22"/>
        </w:rPr>
      </w:pPr>
      <w:r w:rsidRPr="00662F03">
        <w:rPr>
          <w:rFonts w:ascii="Calibri" w:hAnsi="Calibri" w:cs="Tahoma"/>
          <w:sz w:val="22"/>
          <w:szCs w:val="22"/>
        </w:rPr>
        <w:t xml:space="preserve">zastosowania narzędzi zintegrowanego rozwoju miast i powiązanych z nim struktur zarządzania (governance) celem ich implementacji oraz do utworzenia niezbędnych ram na poziomie krajowym, </w:t>
      </w:r>
    </w:p>
    <w:p w:rsidR="0037001F" w:rsidRPr="00662F03" w:rsidRDefault="0037001F" w:rsidP="002E6D83">
      <w:pPr>
        <w:numPr>
          <w:ilvl w:val="0"/>
          <w:numId w:val="47"/>
        </w:numPr>
        <w:shd w:val="clear" w:color="auto" w:fill="FFFFFF"/>
        <w:jc w:val="both"/>
        <w:outlineLvl w:val="3"/>
        <w:rPr>
          <w:rFonts w:ascii="Calibri" w:hAnsi="Calibri" w:cs="Tahoma"/>
          <w:sz w:val="22"/>
          <w:szCs w:val="22"/>
        </w:rPr>
      </w:pPr>
      <w:r w:rsidRPr="00662F03">
        <w:rPr>
          <w:rFonts w:ascii="Calibri" w:hAnsi="Calibri" w:cs="Tahoma"/>
          <w:sz w:val="22"/>
          <w:szCs w:val="22"/>
        </w:rPr>
        <w:t>wspierania tworzenia zrównoważonej organizacji terytorialnej opartej na europejskiej, policentrycznej strukturze miejskiej.</w:t>
      </w:r>
    </w:p>
    <w:p w:rsidR="0037001F" w:rsidRDefault="0037001F" w:rsidP="002E6D83">
      <w:pPr>
        <w:jc w:val="both"/>
        <w:rPr>
          <w:rFonts w:ascii="Calibri" w:hAnsi="Calibri"/>
          <w:sz w:val="22"/>
          <w:szCs w:val="22"/>
        </w:rPr>
      </w:pPr>
    </w:p>
    <w:p w:rsidR="00445AB2" w:rsidRDefault="00445AB2" w:rsidP="002E6D83">
      <w:pPr>
        <w:jc w:val="both"/>
        <w:rPr>
          <w:rFonts w:ascii="Calibri" w:hAnsi="Calibri"/>
          <w:sz w:val="22"/>
          <w:szCs w:val="22"/>
        </w:rPr>
      </w:pPr>
    </w:p>
    <w:p w:rsidR="00445AB2" w:rsidRDefault="00EB062B" w:rsidP="002E6D83">
      <w:pPr>
        <w:jc w:val="both"/>
        <w:rPr>
          <w:rFonts w:ascii="Calibri" w:hAnsi="Calibri"/>
          <w:sz w:val="22"/>
          <w:szCs w:val="22"/>
        </w:rPr>
      </w:pPr>
      <w:r>
        <w:rPr>
          <w:rFonts w:ascii="Calibri" w:hAnsi="Calibri"/>
          <w:noProof/>
          <w:sz w:val="22"/>
          <w:szCs w:val="22"/>
        </w:rPr>
      </w:r>
      <w:r>
        <w:rPr>
          <w:rFonts w:ascii="Calibri" w:hAnsi="Calibri"/>
          <w:sz w:val="22"/>
          <w:szCs w:val="22"/>
        </w:rPr>
        <w:pict>
          <v:rect id="_x0000_s1060"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60;mso-fit-shape-to-text:t" inset="28.8pt,7.2pt,14.4pt,28.8pt">
              <w:txbxContent>
                <w:p w:rsidR="00EB062B" w:rsidRPr="00EC0E96" w:rsidRDefault="00EB062B" w:rsidP="00EB062B">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EB062B" w:rsidRPr="00EC0E96" w:rsidRDefault="00EB062B" w:rsidP="00EB062B">
                  <w:pPr>
                    <w:jc w:val="both"/>
                    <w:rPr>
                      <w:rFonts w:ascii="Calibri" w:hAnsi="Calibri"/>
                      <w:i/>
                      <w:iCs/>
                      <w:color w:val="1F497D"/>
                      <w:sz w:val="22"/>
                      <w:szCs w:val="28"/>
                    </w:rPr>
                  </w:pPr>
                  <w:r>
                    <w:rPr>
                      <w:rFonts w:ascii="Calibri" w:hAnsi="Calibri"/>
                      <w:i/>
                      <w:iCs/>
                      <w:color w:val="1F497D"/>
                      <w:sz w:val="22"/>
                      <w:szCs w:val="28"/>
                    </w:rPr>
                    <w:t>W zakresie dokumentów unijnych odwołano się do najważniejszych programów określających kierunki wzrostu konkurencyjności i spójności obszaru Unii Europejskiej. Większość dokumentów unijnych ma charakter bardzo ogólnych strategii lub polityk. Zawarte w nich cele i kierunki działań są zwykle obecne w dokumentach krajowych i regionalnych, ponieważ powstawały one w dużym zakresie na bazie dokumentów unijnych.</w:t>
                  </w:r>
                </w:p>
              </w:txbxContent>
            </v:textbox>
            <w10:wrap type="none" anchorx="margin" anchory="page"/>
            <w10:anchorlock/>
          </v:rect>
        </w:pict>
      </w:r>
    </w:p>
    <w:p w:rsidR="00445AB2" w:rsidRPr="00662F03" w:rsidRDefault="00445AB2" w:rsidP="002E6D83">
      <w:pPr>
        <w:jc w:val="both"/>
        <w:rPr>
          <w:rFonts w:ascii="Calibri" w:hAnsi="Calibri"/>
          <w:sz w:val="22"/>
          <w:szCs w:val="22"/>
        </w:rPr>
      </w:pPr>
    </w:p>
    <w:p w:rsidR="005567C5" w:rsidRPr="00662F03" w:rsidRDefault="005567C5" w:rsidP="007F5FC1">
      <w:pPr>
        <w:pStyle w:val="Nagwek1"/>
        <w:numPr>
          <w:ilvl w:val="0"/>
          <w:numId w:val="1"/>
        </w:numPr>
        <w:rPr>
          <w:rFonts w:ascii="Calibri" w:hAnsi="Calibri"/>
          <w:color w:val="17365D"/>
          <w:sz w:val="24"/>
        </w:rPr>
      </w:pPr>
      <w:bookmarkStart w:id="96" w:name="_Toc316395275"/>
      <w:r w:rsidRPr="00662F03">
        <w:rPr>
          <w:rFonts w:ascii="Calibri" w:hAnsi="Calibri"/>
          <w:color w:val="17365D"/>
          <w:sz w:val="24"/>
        </w:rPr>
        <w:t>Analiza aktywności promocyjnej i marketingowej gmin</w:t>
      </w:r>
      <w:bookmarkEnd w:id="96"/>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Działania promocyjne są kierowane do potencjalnych i obecnych inwestorów, turystów zainteresowanych atrakcjami i produktami turystycznymi Nowej Soli, osób i instytucji zainteresowanych nowosolską kulturą oraz miłośników sportu i rekr</w:t>
      </w:r>
      <w:r w:rsidR="004709E3" w:rsidRPr="00662F03">
        <w:rPr>
          <w:rFonts w:ascii="Calibri" w:hAnsi="Calibri" w:cs="Tahoma"/>
          <w:sz w:val="22"/>
          <w:szCs w:val="22"/>
        </w:rPr>
        <w:t>eacji.</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Obejmują one udział w specjalistycznych targach i konferencjach, a także dystrybucję wydawnictw promocyjnych i informacyjnych.</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W ramach struktur Urzędu Miejskiego w Nowej Soli, promocją zajmuje się Wydział Integracji Europejskiej i Promocji. W strukturach wydziału wyodrębnione są cztery stanowiska: naczelnik, stanowisko d/s obsługi projektów unijnych, sta</w:t>
      </w:r>
      <w:r w:rsidR="004709E3" w:rsidRPr="00662F03">
        <w:rPr>
          <w:rFonts w:ascii="Calibri" w:hAnsi="Calibri" w:cs="Tahoma"/>
          <w:sz w:val="22"/>
          <w:szCs w:val="22"/>
        </w:rPr>
        <w:t>nowisko d/s współpracy polsko-</w:t>
      </w:r>
      <w:r w:rsidRPr="00662F03">
        <w:rPr>
          <w:rFonts w:ascii="Calibri" w:hAnsi="Calibri" w:cs="Tahoma"/>
          <w:sz w:val="22"/>
          <w:szCs w:val="22"/>
        </w:rPr>
        <w:t>niemieckiej, stanowisko d/s promocji podlegające bezpośrednio prezydentowi miasta. Do głównych zadań wydziału należy m.in. zawieranie i realizacja porozumień gminy z organami administracji państwowej lub samorządowej, zawieranie umów w zakresie realizacji zadań gminy i monitorowanie ich wykonania, nawiązywanie kontaktów i określanie zakresu współpracy gminy oraz jej jednostek organizacyjnych w sprawach zagranicznych, wyjazdy zagraniczne przedstawicieli gminy, własne zjazdy, konferencje, seminaria, sympozja, fora, wnioskowanie o udział w programach i projektach finansowanych ze środków zewnętrznych, własne akcje promocyjne i reklamowe gminy, udział w obcych wydarzeniach promocyjnych, materiały promocyjne gminy i jej jednostek, techniczne wykonanie materiałów promocyjnych i wydawnictw oraz ich rozpowszechnianie.</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Szeroko dystrybuowane są ulotki turystyczne prezentujące Nową Sól i okolice wraz z mapkami i niezbędnymi informacjami:</w:t>
      </w:r>
    </w:p>
    <w:p w:rsidR="004E5A9A" w:rsidRPr="00662F03" w:rsidRDefault="004E5A9A" w:rsidP="00295383">
      <w:pPr>
        <w:numPr>
          <w:ilvl w:val="0"/>
          <w:numId w:val="1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„Tradycje solne” </w:t>
      </w:r>
      <w:r w:rsidR="004709E3" w:rsidRPr="00662F03">
        <w:rPr>
          <w:rFonts w:ascii="Calibri" w:hAnsi="Calibri" w:cs="Tahoma"/>
          <w:sz w:val="22"/>
          <w:szCs w:val="22"/>
        </w:rPr>
        <w:t>– prezentują ofertę turystyczno- rozrywkową</w:t>
      </w:r>
      <w:r w:rsidRPr="00662F03">
        <w:rPr>
          <w:rFonts w:ascii="Calibri" w:hAnsi="Calibri" w:cs="Tahoma"/>
          <w:sz w:val="22"/>
          <w:szCs w:val="22"/>
        </w:rPr>
        <w:t xml:space="preserve"> skupioną wokół tradycji solnych, tj. święto miasta obchodzone coroczne w czerwcu nazywane Świętem Solan (gromadzi ponad 15 tysięcy mieszkańców regionu), konkurs literacki „O Szczyptę Soli”, święto bluesa pn. „Solówka”, imprezy sportowo-wodne - Regaty Smoczych Łodzi, impreza sportowa - Półmaraton Solan, bogate zbiory Muzeum Miejskiego (solniczki z różnych epok </w:t>
      </w:r>
      <w:r w:rsidRPr="00662F03">
        <w:rPr>
          <w:rFonts w:ascii="Calibri" w:hAnsi="Calibri" w:cs="Tahoma"/>
          <w:sz w:val="22"/>
          <w:szCs w:val="22"/>
        </w:rPr>
        <w:lastRenderedPageBreak/>
        <w:t xml:space="preserve">historycznych), lokalne monety, tzw. talary solne wyemitowane przez Urząd Miejski w 2009 roku, Soluś największy na świecie krasnal promujący </w:t>
      </w:r>
      <w:r w:rsidR="004709E3" w:rsidRPr="00662F03">
        <w:rPr>
          <w:rFonts w:ascii="Calibri" w:hAnsi="Calibri" w:cs="Tahoma"/>
          <w:sz w:val="22"/>
          <w:szCs w:val="22"/>
        </w:rPr>
        <w:t>miasto w parku dla najmłodszych;</w:t>
      </w:r>
    </w:p>
    <w:p w:rsidR="004E5A9A" w:rsidRPr="00662F03" w:rsidRDefault="004E5A9A" w:rsidP="00295383">
      <w:pPr>
        <w:numPr>
          <w:ilvl w:val="0"/>
          <w:numId w:val="1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Ulotka Trasy rowerowe – Nowa Sól – prezentująca 10 tras rowerowych, w tym najbardziej znaną - „Nadodrzański tandem”</w:t>
      </w:r>
      <w:r w:rsidR="004709E3" w:rsidRPr="00662F03">
        <w:rPr>
          <w:rFonts w:ascii="Calibri" w:hAnsi="Calibri" w:cs="Tahoma"/>
          <w:sz w:val="22"/>
          <w:szCs w:val="22"/>
        </w:rPr>
        <w:t>;</w:t>
      </w:r>
    </w:p>
    <w:p w:rsidR="004E5A9A" w:rsidRPr="00662F03" w:rsidRDefault="004E5A9A" w:rsidP="00295383">
      <w:pPr>
        <w:numPr>
          <w:ilvl w:val="0"/>
          <w:numId w:val="1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Ulotka </w:t>
      </w:r>
      <w:r w:rsidR="004709E3" w:rsidRPr="00662F03">
        <w:rPr>
          <w:rFonts w:ascii="Calibri" w:hAnsi="Calibri" w:cs="Tahoma"/>
          <w:sz w:val="22"/>
          <w:szCs w:val="22"/>
        </w:rPr>
        <w:t>„</w:t>
      </w:r>
      <w:r w:rsidRPr="00662F03">
        <w:rPr>
          <w:rFonts w:ascii="Calibri" w:hAnsi="Calibri" w:cs="Tahoma"/>
          <w:sz w:val="22"/>
          <w:szCs w:val="22"/>
        </w:rPr>
        <w:t>Spacerek</w:t>
      </w:r>
      <w:r w:rsidR="004709E3" w:rsidRPr="00662F03">
        <w:rPr>
          <w:rFonts w:ascii="Calibri" w:hAnsi="Calibri" w:cs="Tahoma"/>
          <w:sz w:val="22"/>
          <w:szCs w:val="22"/>
        </w:rPr>
        <w:t>”</w:t>
      </w:r>
      <w:r w:rsidRPr="00662F03">
        <w:rPr>
          <w:rFonts w:ascii="Calibri" w:hAnsi="Calibri" w:cs="Tahoma"/>
          <w:sz w:val="22"/>
          <w:szCs w:val="22"/>
        </w:rPr>
        <w:t xml:space="preserve"> z mapką miasta przedstawiająca miejsca wyjątkowe, ciekawe i zabytkowe</w:t>
      </w:r>
      <w:r w:rsidR="004709E3" w:rsidRPr="00662F03">
        <w:rPr>
          <w:rFonts w:ascii="Calibri" w:hAnsi="Calibri" w:cs="Tahoma"/>
          <w:sz w:val="22"/>
          <w:szCs w:val="22"/>
        </w:rPr>
        <w:t>;</w:t>
      </w:r>
    </w:p>
    <w:p w:rsidR="004E5A9A" w:rsidRPr="00662F03" w:rsidRDefault="004E5A9A" w:rsidP="00295383">
      <w:pPr>
        <w:numPr>
          <w:ilvl w:val="0"/>
          <w:numId w:val="17"/>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Ulotka </w:t>
      </w:r>
      <w:r w:rsidR="004709E3" w:rsidRPr="00662F03">
        <w:rPr>
          <w:rFonts w:ascii="Calibri" w:hAnsi="Calibri" w:cs="Tahoma"/>
          <w:sz w:val="22"/>
          <w:szCs w:val="22"/>
        </w:rPr>
        <w:t>„</w:t>
      </w:r>
      <w:r w:rsidRPr="00662F03">
        <w:rPr>
          <w:rFonts w:ascii="Calibri" w:hAnsi="Calibri" w:cs="Tahoma"/>
          <w:sz w:val="22"/>
          <w:szCs w:val="22"/>
        </w:rPr>
        <w:t>Brzegiem Odry</w:t>
      </w:r>
      <w:r w:rsidR="004709E3" w:rsidRPr="00662F03">
        <w:rPr>
          <w:rFonts w:ascii="Calibri" w:hAnsi="Calibri" w:cs="Tahoma"/>
          <w:sz w:val="22"/>
          <w:szCs w:val="22"/>
        </w:rPr>
        <w:t>”</w:t>
      </w:r>
      <w:r w:rsidRPr="00662F03">
        <w:rPr>
          <w:rFonts w:ascii="Calibri" w:hAnsi="Calibri" w:cs="Tahoma"/>
          <w:sz w:val="22"/>
          <w:szCs w:val="22"/>
        </w:rPr>
        <w:t xml:space="preserve"> przedstawiająca ciekawe miejsca nad Odrą, w tym Nową Sól.</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Ulotki dostępne są w wersji elektronicznej na stronie internetowej Urzędu Miasta. Ponad</w:t>
      </w:r>
      <w:r w:rsidR="004709E3" w:rsidRPr="00662F03">
        <w:rPr>
          <w:rFonts w:ascii="Calibri" w:hAnsi="Calibri" w:cs="Tahoma"/>
          <w:sz w:val="22"/>
          <w:szCs w:val="22"/>
        </w:rPr>
        <w:t>to</w:t>
      </w:r>
      <w:r w:rsidRPr="00662F03">
        <w:rPr>
          <w:rFonts w:ascii="Calibri" w:hAnsi="Calibri" w:cs="Tahoma"/>
          <w:sz w:val="22"/>
          <w:szCs w:val="22"/>
        </w:rPr>
        <w:t xml:space="preserve"> Urząd Mias</w:t>
      </w:r>
      <w:r w:rsidR="004709E3" w:rsidRPr="00662F03">
        <w:rPr>
          <w:rFonts w:ascii="Calibri" w:hAnsi="Calibri" w:cs="Tahoma"/>
          <w:sz w:val="22"/>
          <w:szCs w:val="22"/>
        </w:rPr>
        <w:t>ta wydał dwie albumowe pozycje:</w:t>
      </w:r>
    </w:p>
    <w:p w:rsidR="004E5A9A" w:rsidRPr="00662F03" w:rsidRDefault="004E5A9A" w:rsidP="00295383">
      <w:pPr>
        <w:numPr>
          <w:ilvl w:val="0"/>
          <w:numId w:val="18"/>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 xml:space="preserve">Album inwestycyjny </w:t>
      </w:r>
      <w:r w:rsidR="004709E3" w:rsidRPr="00662F03">
        <w:rPr>
          <w:rFonts w:ascii="Calibri" w:hAnsi="Calibri" w:cs="Tahoma"/>
          <w:sz w:val="22"/>
          <w:szCs w:val="22"/>
        </w:rPr>
        <w:t xml:space="preserve">- </w:t>
      </w:r>
      <w:r w:rsidRPr="00662F03">
        <w:rPr>
          <w:rFonts w:ascii="Calibri" w:hAnsi="Calibri" w:cs="Tahoma"/>
          <w:sz w:val="22"/>
          <w:szCs w:val="22"/>
        </w:rPr>
        <w:t>prezentujący walory i atuty miasta, zachęcający do inwestowania</w:t>
      </w:r>
      <w:r w:rsidR="004709E3" w:rsidRPr="00662F03">
        <w:rPr>
          <w:rFonts w:ascii="Calibri" w:hAnsi="Calibri" w:cs="Tahoma"/>
          <w:sz w:val="22"/>
          <w:szCs w:val="22"/>
        </w:rPr>
        <w:t>;</w:t>
      </w:r>
    </w:p>
    <w:p w:rsidR="004E5A9A" w:rsidRPr="00662F03" w:rsidRDefault="004E5A9A" w:rsidP="00295383">
      <w:pPr>
        <w:numPr>
          <w:ilvl w:val="0"/>
          <w:numId w:val="18"/>
        </w:numPr>
        <w:shd w:val="clear" w:color="auto" w:fill="FFFFFF"/>
        <w:ind w:left="714" w:hanging="357"/>
        <w:jc w:val="both"/>
        <w:outlineLvl w:val="3"/>
        <w:rPr>
          <w:rFonts w:ascii="Calibri" w:hAnsi="Calibri" w:cs="Tahoma"/>
          <w:sz w:val="22"/>
          <w:szCs w:val="22"/>
        </w:rPr>
      </w:pPr>
      <w:r w:rsidRPr="00662F03">
        <w:rPr>
          <w:rFonts w:ascii="Calibri" w:hAnsi="Calibri" w:cs="Tahoma"/>
          <w:sz w:val="22"/>
          <w:szCs w:val="22"/>
        </w:rPr>
        <w:t>Album Barwy miasta – prezentujący miasto na fotografiach.</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Promocję regionu od 2003 r. prowadzi także portal internetowy www.ziemialubuska.pl podający informacje na temat imprez turystycznych i kulturalnych, historii, walorów przyrodniczych oraz bazy adresowej jednostek związanych z obsługą ruchu turystycznego w województwie lubuskim. Portal został założony przez pracowników firmy </w:t>
      </w:r>
      <w:r w:rsidR="00157A9C" w:rsidRPr="00662F03">
        <w:rPr>
          <w:rFonts w:ascii="Calibri" w:hAnsi="Calibri" w:cs="Tahoma"/>
          <w:sz w:val="22"/>
          <w:szCs w:val="22"/>
        </w:rPr>
        <w:t>AMB Software S</w:t>
      </w:r>
      <w:r w:rsidRPr="00662F03">
        <w:rPr>
          <w:rFonts w:ascii="Calibri" w:hAnsi="Calibri" w:cs="Tahoma"/>
          <w:sz w:val="22"/>
          <w:szCs w:val="22"/>
        </w:rPr>
        <w:t xml:space="preserve">p. z o. o., mieszkańców i miłośników Ziemi Lubuskiej. </w:t>
      </w:r>
      <w:r w:rsidR="00157A9C" w:rsidRPr="00662F03">
        <w:rPr>
          <w:rFonts w:ascii="Calibri" w:hAnsi="Calibri" w:cs="Tahoma"/>
          <w:sz w:val="22"/>
          <w:szCs w:val="22"/>
        </w:rPr>
        <w:t>W ostatnich dwóch latach</w:t>
      </w:r>
      <w:r w:rsidRPr="00662F03">
        <w:rPr>
          <w:rFonts w:ascii="Calibri" w:hAnsi="Calibri" w:cs="Tahoma"/>
          <w:sz w:val="22"/>
          <w:szCs w:val="22"/>
        </w:rPr>
        <w:t xml:space="preserve"> </w:t>
      </w:r>
      <w:r w:rsidR="00157A9C" w:rsidRPr="00662F03">
        <w:rPr>
          <w:rFonts w:ascii="Calibri" w:hAnsi="Calibri" w:cs="Tahoma"/>
          <w:sz w:val="22"/>
          <w:szCs w:val="22"/>
        </w:rPr>
        <w:t>serwis zarejestrował</w:t>
      </w:r>
      <w:r w:rsidRPr="00662F03">
        <w:rPr>
          <w:rFonts w:ascii="Calibri" w:hAnsi="Calibri" w:cs="Tahoma"/>
          <w:sz w:val="22"/>
          <w:szCs w:val="22"/>
        </w:rPr>
        <w:t xml:space="preserve"> 12 mln odwiedzających.</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Promocją gospodarczą regionu zajmuje się Centrum Obsługi Inwestora–</w:t>
      </w:r>
      <w:r w:rsidR="00904C0B" w:rsidRPr="00662F03">
        <w:rPr>
          <w:rFonts w:ascii="Calibri" w:hAnsi="Calibri" w:cs="Tahoma"/>
          <w:sz w:val="22"/>
          <w:szCs w:val="22"/>
        </w:rPr>
        <w:t xml:space="preserve"> </w:t>
      </w:r>
      <w:r w:rsidRPr="00662F03">
        <w:rPr>
          <w:rFonts w:ascii="Calibri" w:hAnsi="Calibri" w:cs="Tahoma"/>
          <w:sz w:val="22"/>
          <w:szCs w:val="22"/>
        </w:rPr>
        <w:t>Partner PAIiIZ działające w strukturach ARR S.A. Od roku 2006 ukazuje się folder terenów inwestycyjnych województwa lubuskiego. Centrum organizuje także zagraniczne misje gospodarcze, m.in. do: USA, Chin, Włoch, Niemiec, Austrii, Mołdawii, Kazachstanu oraz na Ukrainę.</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 xml:space="preserve">Nowa Sól wraz z Sulechowem i Zieloną Górą, jako </w:t>
      </w:r>
      <w:r w:rsidR="00904C0B" w:rsidRPr="00662F03">
        <w:rPr>
          <w:rFonts w:ascii="Calibri" w:hAnsi="Calibri" w:cs="Tahoma"/>
          <w:sz w:val="22"/>
          <w:szCs w:val="22"/>
        </w:rPr>
        <w:t xml:space="preserve">Lubuskie </w:t>
      </w:r>
      <w:r w:rsidRPr="00662F03">
        <w:rPr>
          <w:rFonts w:ascii="Calibri" w:hAnsi="Calibri" w:cs="Tahoma"/>
          <w:sz w:val="22"/>
          <w:szCs w:val="22"/>
        </w:rPr>
        <w:t>Trójmiasto prowadzi własne strony internetowe – www.</w:t>
      </w:r>
      <w:r w:rsidR="00CA239A" w:rsidRPr="00662F03">
        <w:rPr>
          <w:rFonts w:ascii="Calibri" w:hAnsi="Calibri" w:cs="Tahoma"/>
          <w:sz w:val="22"/>
          <w:szCs w:val="22"/>
        </w:rPr>
        <w:t>lubuskietrojmiasto</w:t>
      </w:r>
      <w:r w:rsidRPr="00662F03">
        <w:rPr>
          <w:rFonts w:ascii="Calibri" w:hAnsi="Calibri" w:cs="Tahoma"/>
          <w:sz w:val="22"/>
          <w:szCs w:val="22"/>
        </w:rPr>
        <w:t>.</w:t>
      </w:r>
      <w:r w:rsidR="00CA239A" w:rsidRPr="00662F03">
        <w:rPr>
          <w:rFonts w:ascii="Calibri" w:hAnsi="Calibri" w:cs="Tahoma"/>
          <w:sz w:val="22"/>
          <w:szCs w:val="22"/>
        </w:rPr>
        <w:t>eu</w:t>
      </w:r>
      <w:r w:rsidRPr="00662F03">
        <w:rPr>
          <w:rFonts w:ascii="Calibri" w:hAnsi="Calibri" w:cs="Tahoma"/>
          <w:sz w:val="22"/>
          <w:szCs w:val="22"/>
        </w:rPr>
        <w:t>, które zajmują się wspólną promocją tych miast.</w:t>
      </w:r>
    </w:p>
    <w:p w:rsidR="004E5A9A" w:rsidRPr="00662F03"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Promowanie tradycji solnych oraz imprez związanych z tymi tradycjami to ostatnimi laty najaktywniejsze działania promujące Nową Sól.</w:t>
      </w:r>
    </w:p>
    <w:p w:rsidR="004E5A9A" w:rsidRDefault="004E5A9A" w:rsidP="004E5A9A">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Należy kontynuować działania stawiające</w:t>
      </w:r>
      <w:r w:rsidR="00904C0B" w:rsidRPr="00662F03">
        <w:rPr>
          <w:rFonts w:ascii="Calibri" w:hAnsi="Calibri" w:cs="Tahoma"/>
          <w:sz w:val="22"/>
          <w:szCs w:val="22"/>
        </w:rPr>
        <w:t xml:space="preserve"> na rozwój turystyki wodnej.</w:t>
      </w:r>
    </w:p>
    <w:tbl>
      <w:tblPr>
        <w:tblW w:w="0" w:type="auto"/>
        <w:tblLayout w:type="fixed"/>
        <w:tblLook w:val="04A0"/>
      </w:tblPr>
      <w:tblGrid>
        <w:gridCol w:w="534"/>
        <w:gridCol w:w="8897"/>
      </w:tblGrid>
      <w:tr w:rsidR="004711F4" w:rsidRPr="00BC375D" w:rsidTr="00E234CC">
        <w:trPr>
          <w:cantSplit/>
          <w:trHeight w:val="1134"/>
        </w:trPr>
        <w:tc>
          <w:tcPr>
            <w:tcW w:w="534" w:type="dxa"/>
            <w:shd w:val="clear" w:color="auto" w:fill="F2F2F2"/>
            <w:textDirection w:val="btLr"/>
          </w:tcPr>
          <w:p w:rsidR="004711F4" w:rsidRPr="00BC375D" w:rsidRDefault="004711F4" w:rsidP="00E234CC">
            <w:pPr>
              <w:ind w:left="113" w:right="113"/>
              <w:jc w:val="center"/>
              <w:outlineLvl w:val="3"/>
              <w:rPr>
                <w:rFonts w:ascii="Calibri" w:eastAsia="Calibri" w:hAnsi="Calibri" w:cs="Tahoma"/>
                <w:caps/>
                <w:sz w:val="22"/>
                <w:szCs w:val="22"/>
              </w:rPr>
            </w:pPr>
            <w:r w:rsidRPr="00BC375D">
              <w:rPr>
                <w:rFonts w:ascii="Calibri" w:eastAsia="Calibri" w:hAnsi="Calibri" w:cs="Tahoma"/>
                <w:caps/>
                <w:sz w:val="22"/>
                <w:szCs w:val="22"/>
              </w:rPr>
              <w:lastRenderedPageBreak/>
              <w:t>dobre praktyki</w:t>
            </w:r>
          </w:p>
        </w:tc>
        <w:tc>
          <w:tcPr>
            <w:tcW w:w="8897" w:type="dxa"/>
          </w:tcPr>
          <w:p w:rsidR="004B0B23" w:rsidRDefault="000854A6" w:rsidP="000854A6">
            <w:pPr>
              <w:shd w:val="clear" w:color="auto" w:fill="FFFFFF"/>
              <w:spacing w:before="150" w:after="75"/>
              <w:jc w:val="both"/>
              <w:outlineLvl w:val="3"/>
              <w:rPr>
                <w:rFonts w:ascii="Calibri" w:eastAsia="Calibri" w:hAnsi="Calibri" w:cs="Tahoma"/>
                <w:i/>
                <w:sz w:val="22"/>
                <w:szCs w:val="22"/>
              </w:rPr>
            </w:pPr>
            <w:r w:rsidRPr="000854A6">
              <w:rPr>
                <w:rFonts w:ascii="Calibri" w:eastAsia="Calibri" w:hAnsi="Calibri" w:cs="Tahoma"/>
                <w:i/>
                <w:sz w:val="22"/>
                <w:szCs w:val="22"/>
              </w:rPr>
              <w:t xml:space="preserve">Polskie miasta </w:t>
            </w:r>
            <w:r>
              <w:rPr>
                <w:rFonts w:ascii="Calibri" w:eastAsia="Calibri" w:hAnsi="Calibri" w:cs="Tahoma"/>
                <w:i/>
                <w:sz w:val="22"/>
                <w:szCs w:val="22"/>
              </w:rPr>
              <w:t>generalnie prowadzą</w:t>
            </w:r>
            <w:r w:rsidRPr="000854A6">
              <w:rPr>
                <w:rFonts w:ascii="Calibri" w:eastAsia="Calibri" w:hAnsi="Calibri" w:cs="Tahoma"/>
                <w:i/>
                <w:sz w:val="22"/>
                <w:szCs w:val="22"/>
              </w:rPr>
              <w:t xml:space="preserve"> intensywn</w:t>
            </w:r>
            <w:r>
              <w:rPr>
                <w:rFonts w:ascii="Calibri" w:eastAsia="Calibri" w:hAnsi="Calibri" w:cs="Tahoma"/>
                <w:i/>
                <w:sz w:val="22"/>
                <w:szCs w:val="22"/>
              </w:rPr>
              <w:t>e</w:t>
            </w:r>
            <w:r w:rsidRPr="000854A6">
              <w:rPr>
                <w:rFonts w:ascii="Calibri" w:eastAsia="Calibri" w:hAnsi="Calibri" w:cs="Tahoma"/>
                <w:i/>
                <w:sz w:val="22"/>
                <w:szCs w:val="22"/>
              </w:rPr>
              <w:t xml:space="preserve"> kampani</w:t>
            </w:r>
            <w:r>
              <w:rPr>
                <w:rFonts w:ascii="Calibri" w:eastAsia="Calibri" w:hAnsi="Calibri" w:cs="Tahoma"/>
                <w:i/>
                <w:sz w:val="22"/>
                <w:szCs w:val="22"/>
              </w:rPr>
              <w:t>e</w:t>
            </w:r>
            <w:r w:rsidRPr="000854A6">
              <w:rPr>
                <w:rFonts w:ascii="Calibri" w:eastAsia="Calibri" w:hAnsi="Calibri" w:cs="Tahoma"/>
                <w:i/>
                <w:sz w:val="22"/>
                <w:szCs w:val="22"/>
              </w:rPr>
              <w:t xml:space="preserve"> promocyjn</w:t>
            </w:r>
            <w:r>
              <w:rPr>
                <w:rFonts w:ascii="Calibri" w:eastAsia="Calibri" w:hAnsi="Calibri" w:cs="Tahoma"/>
                <w:i/>
                <w:sz w:val="22"/>
                <w:szCs w:val="22"/>
              </w:rPr>
              <w:t>e skierowane</w:t>
            </w:r>
            <w:r w:rsidRPr="000854A6">
              <w:rPr>
                <w:rFonts w:ascii="Calibri" w:eastAsia="Calibri" w:hAnsi="Calibri" w:cs="Tahoma"/>
                <w:i/>
                <w:sz w:val="22"/>
                <w:szCs w:val="22"/>
              </w:rPr>
              <w:t xml:space="preserve"> głównie na zewnątrz. Natomiast marginalizacji jakby ulega wewnętrzna promocja, skierowana do mieszkańców czy społeczności lokalnych. Jest to działanie bardzo ważne, bowiem polega na bud</w:t>
            </w:r>
            <w:r>
              <w:rPr>
                <w:rFonts w:ascii="Calibri" w:eastAsia="Calibri" w:hAnsi="Calibri" w:cs="Tahoma"/>
                <w:i/>
                <w:sz w:val="22"/>
                <w:szCs w:val="22"/>
              </w:rPr>
              <w:t xml:space="preserve">owaniu i wzmacnianiu relacji z obywatelami. </w:t>
            </w:r>
            <w:r w:rsidRPr="000854A6">
              <w:rPr>
                <w:rFonts w:ascii="Calibri" w:eastAsia="Calibri" w:hAnsi="Calibri" w:cs="Tahoma"/>
                <w:i/>
                <w:sz w:val="22"/>
                <w:szCs w:val="22"/>
              </w:rPr>
              <w:t>Ciekawą inicjatywę w tym kierunku przedstawił Wydział Integracji Europejskiej i Promocji Miasta w Ostrowie Wielkopolskim.</w:t>
            </w:r>
          </w:p>
          <w:p w:rsidR="000854A6" w:rsidRDefault="000854A6" w:rsidP="000854A6">
            <w:pPr>
              <w:shd w:val="clear" w:color="auto" w:fill="FFFFFF"/>
              <w:spacing w:before="150" w:after="75"/>
              <w:jc w:val="both"/>
              <w:outlineLvl w:val="3"/>
              <w:rPr>
                <w:rFonts w:ascii="Calibri" w:eastAsia="Calibri" w:hAnsi="Calibri" w:cs="Tahoma"/>
                <w:i/>
                <w:sz w:val="22"/>
                <w:szCs w:val="22"/>
              </w:rPr>
            </w:pPr>
            <w:r w:rsidRPr="000854A6">
              <w:rPr>
                <w:rFonts w:ascii="Calibri" w:eastAsia="Calibri" w:hAnsi="Calibri" w:cs="Tahoma"/>
                <w:i/>
                <w:sz w:val="22"/>
                <w:szCs w:val="22"/>
              </w:rPr>
              <w:t xml:space="preserve">W 2005 </w:t>
            </w:r>
            <w:r>
              <w:rPr>
                <w:rFonts w:ascii="Calibri" w:eastAsia="Calibri" w:hAnsi="Calibri" w:cs="Tahoma"/>
                <w:i/>
                <w:sz w:val="22"/>
                <w:szCs w:val="22"/>
              </w:rPr>
              <w:t>roku rozpoczęła się innowacyjna</w:t>
            </w:r>
            <w:r w:rsidRPr="000854A6">
              <w:rPr>
                <w:rFonts w:ascii="Calibri" w:eastAsia="Calibri" w:hAnsi="Calibri" w:cs="Tahoma"/>
                <w:i/>
                <w:sz w:val="22"/>
                <w:szCs w:val="22"/>
              </w:rPr>
              <w:t xml:space="preserve"> kampania promocyjna ,,Tu mieszkam”. Na tablicach reklamowych (witaczach) w eksponowanych miejscach przy głównych trasach wjazdowych do</w:t>
            </w:r>
            <w:r>
              <w:rPr>
                <w:rFonts w:ascii="Calibri" w:eastAsia="Calibri" w:hAnsi="Calibri" w:cs="Tahoma"/>
                <w:i/>
                <w:sz w:val="22"/>
                <w:szCs w:val="22"/>
              </w:rPr>
              <w:t xml:space="preserve"> miasta pojawiły się billboardy</w:t>
            </w:r>
            <w:r w:rsidRPr="000854A6">
              <w:rPr>
                <w:rFonts w:ascii="Calibri" w:eastAsia="Calibri" w:hAnsi="Calibri" w:cs="Tahoma"/>
                <w:i/>
                <w:sz w:val="22"/>
                <w:szCs w:val="22"/>
              </w:rPr>
              <w:t xml:space="preserve"> z wizerunkiem Katarzyny Borowicz</w:t>
            </w:r>
            <w:r>
              <w:rPr>
                <w:rFonts w:ascii="Calibri" w:eastAsia="Calibri" w:hAnsi="Calibri" w:cs="Tahoma"/>
                <w:i/>
                <w:sz w:val="22"/>
                <w:szCs w:val="22"/>
              </w:rPr>
              <w:t>(Miss Polonia, finalistka Miss World)</w:t>
            </w:r>
            <w:r w:rsidRPr="000854A6">
              <w:rPr>
                <w:rFonts w:ascii="Calibri" w:eastAsia="Calibri" w:hAnsi="Calibri" w:cs="Tahoma"/>
                <w:i/>
                <w:sz w:val="22"/>
                <w:szCs w:val="22"/>
              </w:rPr>
              <w:t xml:space="preserve"> i Tomasza Jędrzejaka</w:t>
            </w:r>
            <w:r>
              <w:rPr>
                <w:rFonts w:ascii="Calibri" w:eastAsia="Calibri" w:hAnsi="Calibri" w:cs="Tahoma"/>
                <w:i/>
                <w:sz w:val="22"/>
                <w:szCs w:val="22"/>
              </w:rPr>
              <w:t xml:space="preserve"> (żużlowiec)</w:t>
            </w:r>
            <w:r w:rsidRPr="000854A6">
              <w:rPr>
                <w:rFonts w:ascii="Calibri" w:eastAsia="Calibri" w:hAnsi="Calibri" w:cs="Tahoma"/>
                <w:i/>
                <w:sz w:val="22"/>
                <w:szCs w:val="22"/>
              </w:rPr>
              <w:t>. W ten sposób przekaz promocji uświetniły na plakatach twarze i nazwiska znanych osób - mieszkańców Ostrowa – które odniosły sukces, identyfikują</w:t>
            </w:r>
            <w:r>
              <w:rPr>
                <w:rFonts w:ascii="Calibri" w:eastAsia="Calibri" w:hAnsi="Calibri" w:cs="Tahoma"/>
                <w:i/>
                <w:sz w:val="22"/>
                <w:szCs w:val="22"/>
              </w:rPr>
              <w:t xml:space="preserve"> się z miastem oraz podkreślają</w:t>
            </w:r>
            <w:r w:rsidRPr="000854A6">
              <w:rPr>
                <w:rFonts w:ascii="Calibri" w:eastAsia="Calibri" w:hAnsi="Calibri" w:cs="Tahoma"/>
                <w:i/>
                <w:sz w:val="22"/>
                <w:szCs w:val="22"/>
              </w:rPr>
              <w:t>,</w:t>
            </w:r>
            <w:r>
              <w:rPr>
                <w:rFonts w:ascii="Calibri" w:eastAsia="Calibri" w:hAnsi="Calibri" w:cs="Tahoma"/>
                <w:i/>
                <w:sz w:val="22"/>
                <w:szCs w:val="22"/>
              </w:rPr>
              <w:t xml:space="preserve"> że ,,tu” warto mieszkać</w:t>
            </w:r>
            <w:r w:rsidRPr="000854A6">
              <w:rPr>
                <w:rFonts w:ascii="Calibri" w:eastAsia="Calibri" w:hAnsi="Calibri" w:cs="Tahoma"/>
                <w:i/>
                <w:sz w:val="22"/>
                <w:szCs w:val="22"/>
              </w:rPr>
              <w:t>.</w:t>
            </w:r>
          </w:p>
          <w:p w:rsidR="000854A6" w:rsidRDefault="000854A6" w:rsidP="000854A6">
            <w:pPr>
              <w:shd w:val="clear" w:color="auto" w:fill="FFFFFF"/>
              <w:spacing w:before="150" w:after="75"/>
              <w:jc w:val="both"/>
              <w:outlineLvl w:val="3"/>
              <w:rPr>
                <w:rFonts w:ascii="Calibri" w:eastAsia="Calibri" w:hAnsi="Calibri" w:cs="Tahoma"/>
                <w:i/>
                <w:sz w:val="22"/>
                <w:szCs w:val="22"/>
              </w:rPr>
            </w:pPr>
            <w:r w:rsidRPr="000854A6">
              <w:rPr>
                <w:rFonts w:ascii="Calibri" w:eastAsia="Calibri" w:hAnsi="Calibri" w:cs="Tahoma"/>
                <w:i/>
                <w:sz w:val="22"/>
                <w:szCs w:val="22"/>
              </w:rPr>
              <w:t xml:space="preserve">Celem </w:t>
            </w:r>
            <w:r>
              <w:rPr>
                <w:rFonts w:ascii="Calibri" w:eastAsia="Calibri" w:hAnsi="Calibri" w:cs="Tahoma"/>
                <w:i/>
                <w:sz w:val="22"/>
                <w:szCs w:val="22"/>
              </w:rPr>
              <w:t xml:space="preserve">akcji </w:t>
            </w:r>
            <w:r w:rsidRPr="000854A6">
              <w:rPr>
                <w:rFonts w:ascii="Calibri" w:eastAsia="Calibri" w:hAnsi="Calibri" w:cs="Tahoma"/>
                <w:i/>
                <w:sz w:val="22"/>
                <w:szCs w:val="22"/>
              </w:rPr>
              <w:t>było zwrócenie uwagi na to, iż Ostrów Wielkopolski jest miastem urokliwym, dynamicznym, zaś jego najlepszymi ambasadorami są mieszkańcy. Natomiast „miasto” jest dumne z tych, którzy tutaj się urodzili, dorastali, kształcili, a teraz mogą się realizować i odnosić</w:t>
            </w:r>
            <w:r>
              <w:rPr>
                <w:rFonts w:ascii="Calibri" w:eastAsia="Calibri" w:hAnsi="Calibri" w:cs="Tahoma"/>
                <w:i/>
                <w:sz w:val="22"/>
                <w:szCs w:val="22"/>
              </w:rPr>
              <w:t xml:space="preserve"> sukcesy zarówno w kraju, jak i</w:t>
            </w:r>
            <w:r w:rsidRPr="000854A6">
              <w:rPr>
                <w:rFonts w:ascii="Calibri" w:eastAsia="Calibri" w:hAnsi="Calibri" w:cs="Tahoma"/>
                <w:i/>
                <w:sz w:val="22"/>
                <w:szCs w:val="22"/>
              </w:rPr>
              <w:t xml:space="preserve"> zagranicą. Przesłanie to znalazło odbicie we wspomnianym haśle: ,,Tu mieszkam’’, które p</w:t>
            </w:r>
            <w:r>
              <w:rPr>
                <w:rFonts w:ascii="Calibri" w:eastAsia="Calibri" w:hAnsi="Calibri" w:cs="Tahoma"/>
                <w:i/>
                <w:sz w:val="22"/>
                <w:szCs w:val="22"/>
              </w:rPr>
              <w:t>rzejeżdżającym uświadamiało, iż</w:t>
            </w:r>
            <w:r w:rsidRPr="000854A6">
              <w:rPr>
                <w:rFonts w:ascii="Calibri" w:eastAsia="Calibri" w:hAnsi="Calibri" w:cs="Tahoma"/>
                <w:i/>
                <w:sz w:val="22"/>
                <w:szCs w:val="22"/>
              </w:rPr>
              <w:t xml:space="preserve"> mają do czynienia z miastem, gdzie społeczność lokalna jest dumna z jego zamieszkiwania. Rola mieszkańców w procesie promowania miasta jest dwojaka. Z jednej strony pozostają oni uczestnikami promocji wspierając poczynania władz lokalnych, a w ostatecznym rozrachunku korzystają z efektów, jakie przynosi promocja. Z drugiej strony zaś mieszkańcy stanowią jeden z elementów tworzących wizerunek miasta, tym samym można traktować ich jako miejski produkt.</w:t>
            </w:r>
          </w:p>
          <w:p w:rsidR="000854A6" w:rsidRDefault="00C43629" w:rsidP="000854A6">
            <w:pPr>
              <w:shd w:val="clear" w:color="auto" w:fill="FFFFFF"/>
              <w:spacing w:before="150" w:after="75"/>
              <w:jc w:val="both"/>
              <w:outlineLvl w:val="3"/>
              <w:rPr>
                <w:rFonts w:ascii="Calibri" w:eastAsia="Calibri" w:hAnsi="Calibri" w:cs="Tahoma"/>
                <w:i/>
                <w:sz w:val="22"/>
                <w:szCs w:val="22"/>
              </w:rPr>
            </w:pPr>
            <w:r>
              <w:rPr>
                <w:rFonts w:ascii="Calibri" w:eastAsia="Calibri" w:hAnsi="Calibri" w:cs="Tahoma"/>
                <w:i/>
                <w:sz w:val="22"/>
                <w:szCs w:val="22"/>
              </w:rPr>
              <w:t xml:space="preserve">(źródło </w:t>
            </w:r>
            <w:r w:rsidR="000854A6" w:rsidRPr="000854A6">
              <w:rPr>
                <w:rFonts w:ascii="Calibri" w:eastAsia="Calibri" w:hAnsi="Calibri" w:cs="Tahoma"/>
                <w:i/>
                <w:sz w:val="22"/>
                <w:szCs w:val="22"/>
              </w:rPr>
              <w:t>http://www.dobrepraktyki.silesia.org.pl</w:t>
            </w:r>
            <w:r>
              <w:rPr>
                <w:rFonts w:ascii="Calibri" w:eastAsia="Calibri" w:hAnsi="Calibri" w:cs="Tahoma"/>
                <w:i/>
                <w:sz w:val="22"/>
                <w:szCs w:val="22"/>
              </w:rPr>
              <w:t>)</w:t>
            </w:r>
          </w:p>
          <w:p w:rsidR="00C43629" w:rsidRDefault="00C43629" w:rsidP="00C43629">
            <w:pPr>
              <w:shd w:val="clear" w:color="auto" w:fill="FFFFFF"/>
              <w:spacing w:before="150" w:after="75"/>
              <w:jc w:val="both"/>
              <w:outlineLvl w:val="3"/>
              <w:rPr>
                <w:rFonts w:ascii="Calibri" w:eastAsia="Calibri" w:hAnsi="Calibri" w:cs="Tahoma"/>
                <w:i/>
                <w:sz w:val="22"/>
                <w:szCs w:val="22"/>
              </w:rPr>
            </w:pPr>
            <w:r>
              <w:rPr>
                <w:rFonts w:ascii="Calibri" w:eastAsia="Calibri" w:hAnsi="Calibri" w:cs="Tahoma"/>
                <w:i/>
                <w:sz w:val="22"/>
                <w:szCs w:val="22"/>
              </w:rPr>
              <w:t xml:space="preserve">Do 2011 r. miasto przeprowadziło siedem edycji </w:t>
            </w:r>
            <w:r w:rsidRPr="00C43629">
              <w:rPr>
                <w:rFonts w:ascii="Calibri" w:eastAsia="Calibri" w:hAnsi="Calibri" w:cs="Tahoma"/>
                <w:i/>
                <w:sz w:val="22"/>
                <w:szCs w:val="22"/>
              </w:rPr>
              <w:t>kampanii promocyjnej „Tu mieszkam”. Hasło siódmej edycji kampanii bilbordowej to</w:t>
            </w:r>
            <w:r>
              <w:rPr>
                <w:rFonts w:ascii="Calibri" w:eastAsia="Calibri" w:hAnsi="Calibri" w:cs="Tahoma"/>
                <w:i/>
                <w:sz w:val="22"/>
                <w:szCs w:val="22"/>
              </w:rPr>
              <w:t xml:space="preserve"> </w:t>
            </w:r>
            <w:r w:rsidRPr="00C43629">
              <w:rPr>
                <w:rFonts w:ascii="Calibri" w:eastAsia="Calibri" w:hAnsi="Calibri" w:cs="Tahoma"/>
                <w:i/>
                <w:sz w:val="22"/>
                <w:szCs w:val="22"/>
              </w:rPr>
              <w:t>"Ostrów Wielkopolski Tu szkolimy mistrzów!"</w:t>
            </w:r>
            <w:r>
              <w:rPr>
                <w:rFonts w:ascii="Calibri" w:eastAsia="Calibri" w:hAnsi="Calibri" w:cs="Tahoma"/>
                <w:i/>
                <w:sz w:val="22"/>
                <w:szCs w:val="22"/>
              </w:rPr>
              <w:t xml:space="preserve">. </w:t>
            </w:r>
            <w:r w:rsidRPr="00C43629">
              <w:rPr>
                <w:rFonts w:ascii="Calibri" w:eastAsia="Calibri" w:hAnsi="Calibri" w:cs="Tahoma"/>
                <w:i/>
                <w:sz w:val="22"/>
                <w:szCs w:val="22"/>
              </w:rPr>
              <w:t>Bilbordy z czterema reprezentantami Polski w piłce ręcznej i ich trenerami zawisły przy głównych trasach wjazdowych do Ostrowa Wielkopolskiego.</w:t>
            </w:r>
          </w:p>
          <w:p w:rsidR="00C43629" w:rsidRPr="00BA1EF2" w:rsidRDefault="00C43629" w:rsidP="00C43629">
            <w:pPr>
              <w:shd w:val="clear" w:color="auto" w:fill="FFFFFF"/>
              <w:spacing w:before="150" w:after="75"/>
              <w:jc w:val="both"/>
              <w:outlineLvl w:val="3"/>
              <w:rPr>
                <w:rFonts w:ascii="Calibri" w:eastAsia="Calibri" w:hAnsi="Calibri" w:cs="Tahoma"/>
                <w:i/>
                <w:sz w:val="22"/>
                <w:szCs w:val="22"/>
              </w:rPr>
            </w:pPr>
            <w:r>
              <w:rPr>
                <w:rFonts w:ascii="Calibri" w:eastAsia="Calibri" w:hAnsi="Calibri" w:cs="Tahoma"/>
                <w:i/>
                <w:sz w:val="22"/>
                <w:szCs w:val="22"/>
              </w:rPr>
              <w:t xml:space="preserve">(źródło: </w:t>
            </w:r>
            <w:r w:rsidRPr="00C43629">
              <w:rPr>
                <w:rFonts w:ascii="Calibri" w:eastAsia="Calibri" w:hAnsi="Calibri" w:cs="Tahoma"/>
                <w:i/>
                <w:sz w:val="22"/>
                <w:szCs w:val="22"/>
              </w:rPr>
              <w:t>http://www.ostrow-wielkopolski.um.gov.pl</w:t>
            </w:r>
            <w:r>
              <w:rPr>
                <w:rFonts w:ascii="Calibri" w:eastAsia="Calibri" w:hAnsi="Calibri" w:cs="Tahoma"/>
                <w:i/>
                <w:sz w:val="22"/>
                <w:szCs w:val="22"/>
              </w:rPr>
              <w:t>)</w:t>
            </w:r>
          </w:p>
        </w:tc>
      </w:tr>
    </w:tbl>
    <w:p w:rsidR="004711F4" w:rsidRPr="00662F03" w:rsidRDefault="004711F4" w:rsidP="004E5A9A">
      <w:pPr>
        <w:shd w:val="clear" w:color="auto" w:fill="FFFFFF"/>
        <w:spacing w:before="150" w:after="75"/>
        <w:jc w:val="both"/>
        <w:outlineLvl w:val="3"/>
        <w:rPr>
          <w:rFonts w:ascii="Calibri" w:hAnsi="Calibri" w:cs="Tahoma"/>
          <w:sz w:val="22"/>
          <w:szCs w:val="22"/>
        </w:rPr>
      </w:pPr>
    </w:p>
    <w:p w:rsidR="004717D3" w:rsidRPr="00295383" w:rsidRDefault="005433B6" w:rsidP="004E5A9A">
      <w:pPr>
        <w:shd w:val="clear" w:color="auto" w:fill="FFFFFF"/>
        <w:spacing w:before="150" w:after="75"/>
        <w:jc w:val="both"/>
        <w:outlineLvl w:val="3"/>
        <w:rPr>
          <w:rFonts w:ascii="Calibri" w:hAnsi="Calibri"/>
          <w:sz w:val="20"/>
        </w:rPr>
      </w:pPr>
      <w:r w:rsidRPr="005433B6">
        <w:rPr>
          <w:rFonts w:ascii="Calibri" w:hAnsi="Calibri"/>
        </w:rPr>
      </w:r>
      <w:r w:rsidR="00072369" w:rsidRPr="005433B6">
        <w:rPr>
          <w:rFonts w:ascii="Calibri" w:hAnsi="Calibri"/>
        </w:rPr>
        <w:pict>
          <v:roundrect id="_x0000_s1029"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29;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shadow/>
          <w:color w:val="808080"/>
          <w:sz w:val="22"/>
        </w:rPr>
        <w:t>Mieszkańcy twierdzą, że ich miasto jest dobrze postrzegane przez mieszkańców innych części Polski. Należy jednak zaznaczyć, że wiele osób nie potrafiło udzielić odpowiedzi na pytanie, czy zgadzają się z tym twierdzeniem. Ci, którzy odpowiedzieli, w większości 87% twierdzili, że jest to prawdziwe twierdzenie. Przekonanie o tym wzrasta wraz z wiekiem oraz wraz ze spadkiem wykształcenia. Płeć nie wpływa na ocenę w tym zakresie. Postrzeganie miasta przez mieszkańców innych części Polski jest oceniane jako mało ważne kryterium jakości życia. Lepiej niż kobiety oceniają to kryterium mężczyźni. Ocena kryterium maleje wraz z wiekiem i rośnie wraz ze spadkiem poziomu wykształcenia.</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b/>
          <w:shadow/>
          <w:color w:val="808080"/>
          <w:sz w:val="22"/>
        </w:rPr>
        <w:t>Wnioski:</w:t>
      </w:r>
      <w:r w:rsidRPr="004E11D3">
        <w:rPr>
          <w:rFonts w:ascii="Calibri" w:hAnsi="Calibri" w:cs="Tahoma"/>
          <w:shadow/>
          <w:color w:val="808080"/>
          <w:sz w:val="22"/>
        </w:rPr>
        <w:t xml:space="preserve"> Postrzeganie miasta przez obywateli innych części Polski jest oceniane generalnie jako mocna strona, choć opinia na ten temat mieszkańców nie jest jednoznaczna z uwagi na duży odsetek osób, które nie potrafią wyrazić zdania w tym zakresie. Wynikać to może z tego, że Nowa Sól wydaje się nie być znana w innych częściach Polski. Działania zaplanowane w ramach strategii powinny zmierzać do zmiany tego stanu, choć nie powinny te działania być traktowane priorytetowo, chyba że z myś</w:t>
      </w:r>
      <w:r w:rsidR="00A63C86">
        <w:rPr>
          <w:rFonts w:ascii="Calibri" w:hAnsi="Calibri" w:cs="Tahoma"/>
          <w:shadow/>
          <w:color w:val="808080"/>
          <w:sz w:val="22"/>
        </w:rPr>
        <w:t>lą o potencjalnych inwestorach.</w:t>
      </w:r>
    </w:p>
    <w:p w:rsidR="00AA21BF" w:rsidRPr="006A1A22" w:rsidRDefault="00AA21BF" w:rsidP="00AA21BF">
      <w:pPr>
        <w:pStyle w:val="Legenda"/>
        <w:rPr>
          <w:rFonts w:ascii="Calibri" w:hAnsi="Calibri" w:cs="Tahoma"/>
          <w:b w:val="0"/>
          <w:shadow/>
          <w:color w:val="808080"/>
          <w:sz w:val="18"/>
        </w:rPr>
      </w:pPr>
      <w:bookmarkStart w:id="97" w:name="_Toc315790532"/>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63</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mieszkańcy innych części Polski dobrze postrzegają moje miasto.</w:t>
      </w:r>
      <w:bookmarkEnd w:id="97"/>
    </w:p>
    <w:p w:rsidR="00BA0B5B" w:rsidRPr="00662F03" w:rsidRDefault="005B1628" w:rsidP="004E11D3">
      <w:pPr>
        <w:jc w:val="center"/>
        <w:rPr>
          <w:rFonts w:ascii="Calibri" w:hAnsi="Calibri"/>
        </w:rPr>
      </w:pPr>
      <w:r>
        <w:rPr>
          <w:rFonts w:ascii="Calibri" w:hAnsi="Calibri"/>
          <w:noProof/>
        </w:rPr>
        <w:lastRenderedPageBreak/>
        <w:drawing>
          <wp:inline distT="0" distB="0" distL="0" distR="0">
            <wp:extent cx="4883334" cy="3012179"/>
            <wp:effectExtent l="12192" t="6096" r="6039" b="1150"/>
            <wp:docPr id="90" name="Wykres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A63C86" w:rsidRPr="006A1A22" w:rsidRDefault="00A63C86" w:rsidP="00AA21BF">
      <w:pPr>
        <w:pStyle w:val="Legenda"/>
        <w:rPr>
          <w:rFonts w:ascii="Calibri" w:hAnsi="Calibri"/>
          <w:b w:val="0"/>
          <w:bCs w:val="0"/>
          <w:sz w:val="14"/>
          <w:szCs w:val="24"/>
        </w:rPr>
      </w:pPr>
    </w:p>
    <w:p w:rsidR="00AA21BF" w:rsidRPr="006A1A22" w:rsidRDefault="00AA21BF" w:rsidP="00AA21BF">
      <w:pPr>
        <w:pStyle w:val="Legenda"/>
        <w:rPr>
          <w:rFonts w:ascii="Calibri" w:hAnsi="Calibri"/>
          <w:b w:val="0"/>
          <w:sz w:val="18"/>
        </w:rPr>
      </w:pPr>
      <w:bookmarkStart w:id="98" w:name="_Toc315790533"/>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64</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postrzeganie miasta przez mieszkańców innych części Polski ma znaczenie w atrakcyjności miasta jako miejsca zamieszkania.</w:t>
      </w:r>
      <w:bookmarkEnd w:id="98"/>
    </w:p>
    <w:p w:rsidR="00BA0B5B" w:rsidRPr="00662F03" w:rsidRDefault="005B1628" w:rsidP="004E11D3">
      <w:pPr>
        <w:jc w:val="center"/>
        <w:rPr>
          <w:rFonts w:ascii="Calibri" w:hAnsi="Calibri"/>
        </w:rPr>
      </w:pPr>
      <w:r>
        <w:rPr>
          <w:rFonts w:ascii="Calibri" w:hAnsi="Calibri"/>
          <w:noProof/>
        </w:rPr>
        <w:drawing>
          <wp:inline distT="0" distB="0" distL="0" distR="0">
            <wp:extent cx="5010172" cy="2928239"/>
            <wp:effectExtent l="12192" t="6096" r="6836" b="0"/>
            <wp:docPr id="91" name="Wykres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shadow/>
          <w:color w:val="808080"/>
          <w:sz w:val="22"/>
        </w:rPr>
        <w:t>Mieszkańcy twierdzą, że w urzędach w mieście można wszystko łatwo i szybko załatwić. Nie jest to zdecydowana większość, bo 59%. Nieco mniej o tym są przekonani mężczyźni niż kobiety. W grupie osób ze średnim lub policealnym wykształceniem głosy na temat rozkładają się równo po 50%. Najbardziej zadowoleni z pracy urzędów są osoby z wyższym wykształceniem. Wśród osób z wykształceniem zasadniczym zawodowym i poniżej również dominują osoby twierdzące, że w urzędach można wszystko łatwo i szybko załatwić. Spośród grup wiekowych najbardziej sceptyczna odnośnie oceny funkcjonowania urzędów jest grupa 30-39 lat. Sprawność funkcjonowania urzędów jest dla mieszkańców ważnym kryterium oceny atrakcyjności miasta jako miejsca zamieszkania. Szczególnie ważne jest to dla kobiet. Pod względem wykształcenia różnice są nieznaczne, najniżej kryterium to oceniają osoby z wykształceniem wyższym, najwyżej absolwenci zasadniczych zawodowych i poniżej. Grupy wiekowe wskazują, że ocena tego kryterium rośnie wraz z wiekiem do kategorii 40-59 lat, a następnie spada.</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b/>
          <w:shadow/>
          <w:color w:val="808080"/>
          <w:sz w:val="22"/>
        </w:rPr>
        <w:lastRenderedPageBreak/>
        <w:t>Wnioski:</w:t>
      </w:r>
      <w:r w:rsidRPr="004E11D3">
        <w:rPr>
          <w:rFonts w:ascii="Calibri" w:hAnsi="Calibri" w:cs="Tahoma"/>
          <w:shadow/>
          <w:color w:val="808080"/>
          <w:sz w:val="22"/>
        </w:rPr>
        <w:t xml:space="preserve"> Praca urzędów w mieście jest uważana przez mieszkańców za jego mocną stronę, choć nie potwierdza tego zdecydowana większość mieszkańców. Jest też postrzegana jako ważne kryterium oceny atrakcyjności miasta jako miejsca zamieszkania. Działania zaplanowane w ramach strategii, z uwagi na jednak spory odsetek osób niezadowolonych oraz wysoką wartość oceny jako czynnika wpływającego na jakość życia, powinny być nakierowane na poprawę stanu.</w:t>
      </w:r>
    </w:p>
    <w:p w:rsidR="00AA21BF" w:rsidRPr="006A1A22" w:rsidRDefault="00AA21BF" w:rsidP="006A1A22">
      <w:pPr>
        <w:pStyle w:val="Legenda"/>
        <w:jc w:val="both"/>
        <w:rPr>
          <w:rFonts w:ascii="Calibri" w:hAnsi="Calibri" w:cs="Tahoma"/>
          <w:b w:val="0"/>
          <w:shadow/>
          <w:color w:val="808080"/>
          <w:sz w:val="18"/>
        </w:rPr>
      </w:pPr>
      <w:bookmarkStart w:id="99" w:name="_Toc315790534"/>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65</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w urzędach w mieście można wszystko łatwo i szybko załatwić</w:t>
      </w:r>
      <w:bookmarkEnd w:id="99"/>
    </w:p>
    <w:p w:rsidR="00BA0B5B" w:rsidRPr="00662F03" w:rsidRDefault="005B1628" w:rsidP="004E11D3">
      <w:pPr>
        <w:jc w:val="center"/>
        <w:rPr>
          <w:rFonts w:ascii="Calibri" w:hAnsi="Calibri"/>
        </w:rPr>
      </w:pPr>
      <w:r>
        <w:rPr>
          <w:rFonts w:ascii="Calibri" w:hAnsi="Calibri"/>
          <w:noProof/>
        </w:rPr>
        <w:drawing>
          <wp:inline distT="0" distB="0" distL="0" distR="0">
            <wp:extent cx="4967879" cy="3024124"/>
            <wp:effectExtent l="12192" t="6096" r="6584" b="0"/>
            <wp:docPr id="92" name="Wykres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4E11D3" w:rsidRPr="006A1A22" w:rsidRDefault="004E11D3">
      <w:pPr>
        <w:rPr>
          <w:rFonts w:ascii="Calibri" w:hAnsi="Calibri"/>
          <w:sz w:val="14"/>
        </w:rPr>
      </w:pPr>
    </w:p>
    <w:p w:rsidR="00AA21BF" w:rsidRPr="006A1A22" w:rsidRDefault="00AA21BF" w:rsidP="00AA21BF">
      <w:pPr>
        <w:pStyle w:val="Legenda"/>
        <w:rPr>
          <w:rFonts w:ascii="Calibri" w:hAnsi="Calibri"/>
          <w:b w:val="0"/>
          <w:sz w:val="18"/>
        </w:rPr>
      </w:pPr>
      <w:bookmarkStart w:id="100" w:name="_Toc315790535"/>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66</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jakość załatwiania spraw w urzędach w mieście ma znaczenie w atrakcyjności miasta jako miejsca zamieszkania.</w:t>
      </w:r>
      <w:bookmarkEnd w:id="100"/>
    </w:p>
    <w:p w:rsidR="00BA0B5B" w:rsidRPr="00662F03" w:rsidRDefault="005B1628" w:rsidP="004E11D3">
      <w:pPr>
        <w:jc w:val="center"/>
        <w:rPr>
          <w:rFonts w:ascii="Calibri" w:hAnsi="Calibri"/>
        </w:rPr>
      </w:pPr>
      <w:r>
        <w:rPr>
          <w:rFonts w:ascii="Calibri" w:hAnsi="Calibri"/>
          <w:noProof/>
        </w:rPr>
        <w:drawing>
          <wp:inline distT="0" distB="0" distL="0" distR="0">
            <wp:extent cx="4841039" cy="2768854"/>
            <wp:effectExtent l="12192" t="6096" r="5789" b="0"/>
            <wp:docPr id="93" name="Wykres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shadow/>
          <w:color w:val="808080"/>
          <w:sz w:val="22"/>
        </w:rPr>
        <w:t>Mieszkańcy twierdzą, że czują więź ze współobywatelami miasta. Jest o tym przekonane w ocenie ważonej 81% respondentów. Częściej tak twierdzą mężczyźni niż kobiety. Poczucie więzi ze współobywatelami rośnie wraz ze spadkiem wykształcenia mieszkańców. W kategorii wiekowej nie obserwuje się dużych różnic w opinii. Poczucie więzi z innymi mieszkańcami nie jest oceniane jako ważne kryterium jakości życia. Lepiej niż kobiety oceniają to kryterium mężczyźni, wysoko cenią sobie to kryterium również osoby młode  wieku 18-29 lat.</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b/>
          <w:shadow/>
          <w:color w:val="808080"/>
          <w:sz w:val="22"/>
        </w:rPr>
        <w:lastRenderedPageBreak/>
        <w:t>Wnioski:</w:t>
      </w:r>
      <w:r w:rsidRPr="004E11D3">
        <w:rPr>
          <w:rFonts w:ascii="Calibri" w:hAnsi="Calibri" w:cs="Tahoma"/>
          <w:shadow/>
          <w:color w:val="808080"/>
          <w:sz w:val="22"/>
        </w:rPr>
        <w:t xml:space="preserve"> Więź ze współobywatelami mieszkańcy miasta oceniają jako mocną stronę, choć nie postrzegają tego kryterium jako ważne dla wyznaczenia jakości życia. Działania zaplanowane w ramach strategii powinny być nakierowane na poprawę stanu i wzrost oceny więzi z mieszkańcami, która może być rozumiana jako poczucie tożsamości lokalnej, jako kryterium jakości życia.</w:t>
      </w:r>
    </w:p>
    <w:p w:rsidR="00AA21BF" w:rsidRPr="006A1A22" w:rsidRDefault="00AA21BF" w:rsidP="00AA21BF">
      <w:pPr>
        <w:pStyle w:val="Legenda"/>
        <w:rPr>
          <w:rFonts w:ascii="Calibri" w:hAnsi="Calibri" w:cs="Tahoma"/>
          <w:b w:val="0"/>
          <w:shadow/>
          <w:color w:val="808080"/>
          <w:sz w:val="18"/>
        </w:rPr>
      </w:pPr>
      <w:bookmarkStart w:id="101" w:name="_Toc315790536"/>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67</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czują więź z innymi mieszkańcami.</w:t>
      </w:r>
      <w:bookmarkEnd w:id="101"/>
    </w:p>
    <w:p w:rsidR="00BA0B5B" w:rsidRPr="00662F03" w:rsidRDefault="005B1628" w:rsidP="004E11D3">
      <w:pPr>
        <w:jc w:val="center"/>
        <w:rPr>
          <w:rFonts w:ascii="Calibri" w:hAnsi="Calibri"/>
        </w:rPr>
      </w:pPr>
      <w:r>
        <w:rPr>
          <w:rFonts w:ascii="Calibri" w:hAnsi="Calibri"/>
          <w:noProof/>
        </w:rPr>
        <w:drawing>
          <wp:inline distT="0" distB="0" distL="0" distR="0">
            <wp:extent cx="4939576" cy="2853944"/>
            <wp:effectExtent l="12192" t="6096" r="3137" b="0"/>
            <wp:docPr id="94" name="Wykres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AA21BF" w:rsidRPr="006A1A22" w:rsidRDefault="00AA21BF" w:rsidP="00BA0B5B">
      <w:pPr>
        <w:jc w:val="both"/>
        <w:rPr>
          <w:rFonts w:ascii="Calibri" w:hAnsi="Calibri"/>
          <w:sz w:val="14"/>
        </w:rPr>
      </w:pPr>
    </w:p>
    <w:p w:rsidR="00AA21BF" w:rsidRPr="006A1A22" w:rsidRDefault="00AA21BF" w:rsidP="00AA21BF">
      <w:pPr>
        <w:pStyle w:val="Legenda"/>
        <w:rPr>
          <w:rFonts w:ascii="Calibri" w:hAnsi="Calibri"/>
          <w:b w:val="0"/>
          <w:sz w:val="18"/>
        </w:rPr>
      </w:pPr>
      <w:bookmarkStart w:id="102" w:name="_Toc315790537"/>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68</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Średnia oceny, czy poczucie więzi z mieszkańcami ma znaczenie w atrakcyjności miasta jako miejsca zamieszkania.</w:t>
      </w:r>
      <w:bookmarkEnd w:id="102"/>
    </w:p>
    <w:p w:rsidR="00BA0B5B" w:rsidRPr="00662F03" w:rsidRDefault="005B1628" w:rsidP="004E11D3">
      <w:pPr>
        <w:jc w:val="center"/>
        <w:rPr>
          <w:rFonts w:ascii="Calibri" w:hAnsi="Calibri"/>
        </w:rPr>
      </w:pPr>
      <w:r>
        <w:rPr>
          <w:rFonts w:ascii="Calibri" w:hAnsi="Calibri"/>
          <w:noProof/>
        </w:rPr>
        <w:drawing>
          <wp:inline distT="0" distB="0" distL="0" distR="0">
            <wp:extent cx="4784848" cy="2779533"/>
            <wp:effectExtent l="12192" t="6096" r="8640" b="116"/>
            <wp:docPr id="95" name="Wykres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AA21BF" w:rsidRPr="006A1A22" w:rsidRDefault="00AA21BF" w:rsidP="00AA21BF">
      <w:pPr>
        <w:jc w:val="both"/>
        <w:rPr>
          <w:rFonts w:ascii="Calibri" w:hAnsi="Calibri" w:cs="Calibri"/>
          <w:noProof/>
          <w:sz w:val="18"/>
          <w:szCs w:val="20"/>
        </w:rPr>
      </w:pPr>
      <w:r w:rsidRPr="006A1A22">
        <w:rPr>
          <w:rFonts w:ascii="Calibri" w:hAnsi="Calibri" w:cs="Calibri"/>
          <w:noProof/>
          <w:sz w:val="18"/>
          <w:szCs w:val="20"/>
        </w:rPr>
        <w:t>Źródło: opracowanie własne na podstawie wyników badań ankietowych.</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shadow/>
          <w:color w:val="808080"/>
          <w:sz w:val="22"/>
        </w:rPr>
        <w:t>Mieszkańcy twierdzą, że media działające na terenie miasta dostarczają im wszystkich potrzebnych informacji o mieście. Twierdzi tak w ocenie ważonej 86% mieszkańców. Przekonanie o prawdziwości tego twierdzenia jest wyższe u osób młodszych oraz osób z wykształceniem zasadniczym zawodowym i poniżej. Częściej doinformowani czują się również mężczyźni niż kobiety. Jakość działających na terenie miasta mediów nie jest oceniana jako ważne kryterium jakości życia. Oceny tego kryterium spadają wraz ze wzrostem wieku respondentów i wraz ze spadkiem poziomu wykształcenia.</w:t>
      </w:r>
    </w:p>
    <w:p w:rsidR="00BA0B5B" w:rsidRPr="004E11D3" w:rsidRDefault="00BA0B5B" w:rsidP="00BA0B5B">
      <w:pPr>
        <w:shd w:val="clear" w:color="auto" w:fill="FFFFFF"/>
        <w:spacing w:before="150" w:after="75"/>
        <w:jc w:val="both"/>
        <w:outlineLvl w:val="3"/>
        <w:rPr>
          <w:rFonts w:ascii="Calibri" w:hAnsi="Calibri" w:cs="Tahoma"/>
          <w:shadow/>
          <w:color w:val="808080"/>
          <w:sz w:val="22"/>
        </w:rPr>
      </w:pPr>
      <w:r w:rsidRPr="004E11D3">
        <w:rPr>
          <w:rFonts w:ascii="Calibri" w:hAnsi="Calibri" w:cs="Tahoma"/>
          <w:b/>
          <w:shadow/>
          <w:color w:val="808080"/>
          <w:sz w:val="22"/>
        </w:rPr>
        <w:lastRenderedPageBreak/>
        <w:t>Wnioski:</w:t>
      </w:r>
      <w:r w:rsidRPr="004E11D3">
        <w:rPr>
          <w:rFonts w:ascii="Calibri" w:hAnsi="Calibri" w:cs="Tahoma"/>
          <w:shadow/>
          <w:color w:val="808080"/>
          <w:sz w:val="22"/>
        </w:rPr>
        <w:t xml:space="preserve"> Jakość mediów działających na terenie miasta jest postrzegana jako mocna strona. Nie jest to ważne kryterium oceny, czy warto tu mieszkać. W ramach strategii nie powinno się traktować działań związanych z poprawą sytuacji jako priorytetowych.</w:t>
      </w:r>
    </w:p>
    <w:p w:rsidR="00AA21BF" w:rsidRPr="006A1A22" w:rsidRDefault="00AA21BF" w:rsidP="006A1A22">
      <w:pPr>
        <w:pStyle w:val="Legenda"/>
        <w:jc w:val="both"/>
        <w:rPr>
          <w:rFonts w:ascii="Calibri" w:hAnsi="Calibri" w:cs="Tahoma"/>
          <w:b w:val="0"/>
          <w:shadow/>
          <w:color w:val="808080"/>
          <w:sz w:val="18"/>
        </w:rPr>
      </w:pPr>
      <w:bookmarkStart w:id="103" w:name="_Toc315790538"/>
      <w:r w:rsidRPr="006A1A22">
        <w:rPr>
          <w:rFonts w:ascii="Calibri" w:hAnsi="Calibri"/>
          <w:b w:val="0"/>
          <w:sz w:val="18"/>
        </w:rPr>
        <w:t xml:space="preserve">Wykres </w:t>
      </w:r>
      <w:r w:rsidR="005433B6" w:rsidRPr="006A1A22">
        <w:rPr>
          <w:rFonts w:ascii="Calibri" w:hAnsi="Calibri"/>
          <w:b w:val="0"/>
          <w:sz w:val="18"/>
        </w:rPr>
        <w:fldChar w:fldCharType="begin"/>
      </w:r>
      <w:r w:rsidRPr="006A1A22">
        <w:rPr>
          <w:rFonts w:ascii="Calibri" w:hAnsi="Calibri"/>
          <w:b w:val="0"/>
          <w:sz w:val="18"/>
        </w:rPr>
        <w:instrText xml:space="preserve"> SEQ Wykres \* ARABIC </w:instrText>
      </w:r>
      <w:r w:rsidR="005433B6" w:rsidRPr="006A1A22">
        <w:rPr>
          <w:rFonts w:ascii="Calibri" w:hAnsi="Calibri"/>
          <w:b w:val="0"/>
          <w:sz w:val="18"/>
        </w:rPr>
        <w:fldChar w:fldCharType="separate"/>
      </w:r>
      <w:r w:rsidR="00D377D1" w:rsidRPr="006A1A22">
        <w:rPr>
          <w:rFonts w:ascii="Calibri" w:hAnsi="Calibri"/>
          <w:b w:val="0"/>
          <w:noProof/>
          <w:sz w:val="18"/>
        </w:rPr>
        <w:t>69</w:t>
      </w:r>
      <w:r w:rsidR="005433B6" w:rsidRPr="006A1A22">
        <w:rPr>
          <w:rFonts w:ascii="Calibri" w:hAnsi="Calibri"/>
          <w:b w:val="0"/>
          <w:sz w:val="18"/>
        </w:rPr>
        <w:fldChar w:fldCharType="end"/>
      </w:r>
      <w:r w:rsidRPr="006A1A22">
        <w:rPr>
          <w:rFonts w:ascii="Calibri" w:hAnsi="Calibri"/>
          <w:b w:val="0"/>
          <w:sz w:val="18"/>
        </w:rPr>
        <w:t>.</w:t>
      </w:r>
      <w:r w:rsidR="006A1A22" w:rsidRPr="006A1A22">
        <w:rPr>
          <w:sz w:val="18"/>
        </w:rPr>
        <w:t xml:space="preserve"> </w:t>
      </w:r>
      <w:r w:rsidR="006A1A22" w:rsidRPr="006A1A22">
        <w:rPr>
          <w:rFonts w:ascii="Calibri" w:hAnsi="Calibri"/>
          <w:b w:val="0"/>
          <w:sz w:val="18"/>
        </w:rPr>
        <w:t>Rozkład odpowiedzi na pytanie, czy mieszkańcy zgadzają się z twierdzeniem, że media działające na terenie miasta dostarczają im wszystkich potrzebnych informacji o mieście</w:t>
      </w:r>
      <w:bookmarkEnd w:id="103"/>
    </w:p>
    <w:p w:rsidR="00BA0B5B" w:rsidRPr="00662F03" w:rsidRDefault="005B1628" w:rsidP="004E11D3">
      <w:pPr>
        <w:jc w:val="center"/>
        <w:rPr>
          <w:rFonts w:ascii="Calibri" w:hAnsi="Calibri"/>
        </w:rPr>
      </w:pPr>
      <w:r>
        <w:rPr>
          <w:rFonts w:ascii="Calibri" w:hAnsi="Calibri"/>
          <w:noProof/>
        </w:rPr>
        <w:drawing>
          <wp:inline distT="0" distB="0" distL="0" distR="0">
            <wp:extent cx="4778275" cy="2831054"/>
            <wp:effectExtent l="12192" t="6096" r="5053" b="1935"/>
            <wp:docPr id="96" name="Wykres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AA21BF" w:rsidRPr="007105FB" w:rsidRDefault="00AA21BF" w:rsidP="007105FB">
      <w:pPr>
        <w:jc w:val="both"/>
        <w:rPr>
          <w:rFonts w:ascii="Calibri" w:hAnsi="Calibri" w:cs="Calibri"/>
          <w:noProof/>
          <w:sz w:val="18"/>
          <w:szCs w:val="18"/>
        </w:rPr>
      </w:pPr>
      <w:r w:rsidRPr="007105FB">
        <w:rPr>
          <w:rFonts w:ascii="Calibri" w:hAnsi="Calibri" w:cs="Calibri"/>
          <w:noProof/>
          <w:sz w:val="18"/>
          <w:szCs w:val="18"/>
        </w:rPr>
        <w:t>Źródło: opracowanie własne na podstawie wyników badań ankietowych.</w:t>
      </w:r>
    </w:p>
    <w:p w:rsidR="00AA21BF" w:rsidRPr="007105FB" w:rsidRDefault="00AA21BF" w:rsidP="007105FB">
      <w:pPr>
        <w:jc w:val="both"/>
        <w:rPr>
          <w:rFonts w:ascii="Calibri" w:hAnsi="Calibri"/>
          <w:sz w:val="18"/>
          <w:szCs w:val="18"/>
        </w:rPr>
      </w:pPr>
    </w:p>
    <w:p w:rsidR="00AA21BF" w:rsidRPr="007105FB" w:rsidRDefault="00AA21BF" w:rsidP="007105FB">
      <w:pPr>
        <w:pStyle w:val="Legenda"/>
        <w:jc w:val="both"/>
        <w:rPr>
          <w:rFonts w:ascii="Calibri" w:hAnsi="Calibri"/>
          <w:b w:val="0"/>
          <w:sz w:val="18"/>
          <w:szCs w:val="18"/>
        </w:rPr>
      </w:pPr>
      <w:bookmarkStart w:id="104" w:name="_Toc315790539"/>
      <w:r w:rsidRPr="007105FB">
        <w:rPr>
          <w:rFonts w:ascii="Calibri" w:hAnsi="Calibri"/>
          <w:b w:val="0"/>
          <w:sz w:val="18"/>
          <w:szCs w:val="18"/>
        </w:rPr>
        <w:t xml:space="preserve">Wykres </w:t>
      </w:r>
      <w:r w:rsidR="005433B6" w:rsidRPr="007105FB">
        <w:rPr>
          <w:rFonts w:ascii="Calibri" w:hAnsi="Calibri"/>
          <w:b w:val="0"/>
          <w:sz w:val="18"/>
          <w:szCs w:val="18"/>
        </w:rPr>
        <w:fldChar w:fldCharType="begin"/>
      </w:r>
      <w:r w:rsidRPr="007105FB">
        <w:rPr>
          <w:rFonts w:ascii="Calibri" w:hAnsi="Calibri"/>
          <w:b w:val="0"/>
          <w:sz w:val="18"/>
          <w:szCs w:val="18"/>
        </w:rPr>
        <w:instrText xml:space="preserve"> SEQ Wykres \* ARABIC </w:instrText>
      </w:r>
      <w:r w:rsidR="005433B6" w:rsidRPr="007105FB">
        <w:rPr>
          <w:rFonts w:ascii="Calibri" w:hAnsi="Calibri"/>
          <w:b w:val="0"/>
          <w:sz w:val="18"/>
          <w:szCs w:val="18"/>
        </w:rPr>
        <w:fldChar w:fldCharType="separate"/>
      </w:r>
      <w:r w:rsidR="00D377D1" w:rsidRPr="007105FB">
        <w:rPr>
          <w:rFonts w:ascii="Calibri" w:hAnsi="Calibri"/>
          <w:b w:val="0"/>
          <w:noProof/>
          <w:sz w:val="18"/>
          <w:szCs w:val="18"/>
        </w:rPr>
        <w:t>70</w:t>
      </w:r>
      <w:r w:rsidR="005433B6" w:rsidRPr="007105FB">
        <w:rPr>
          <w:rFonts w:ascii="Calibri" w:hAnsi="Calibri"/>
          <w:b w:val="0"/>
          <w:sz w:val="18"/>
          <w:szCs w:val="18"/>
        </w:rPr>
        <w:fldChar w:fldCharType="end"/>
      </w:r>
      <w:r w:rsidRPr="007105FB">
        <w:rPr>
          <w:rFonts w:ascii="Calibri" w:hAnsi="Calibri"/>
          <w:b w:val="0"/>
          <w:sz w:val="18"/>
          <w:szCs w:val="18"/>
        </w:rPr>
        <w:t>.</w:t>
      </w:r>
      <w:r w:rsidR="007105FB" w:rsidRPr="007105FB">
        <w:rPr>
          <w:sz w:val="18"/>
          <w:szCs w:val="18"/>
        </w:rPr>
        <w:t xml:space="preserve"> </w:t>
      </w:r>
      <w:r w:rsidR="007105FB" w:rsidRPr="007105FB">
        <w:rPr>
          <w:rFonts w:ascii="Calibri" w:hAnsi="Calibri"/>
          <w:b w:val="0"/>
          <w:sz w:val="18"/>
          <w:szCs w:val="18"/>
        </w:rPr>
        <w:t>Średnia oceny, czy jakość mediów działających na terenie miasta ma znaczenie w atrakcyjności miasta jako miejsca zamieszkania.</w:t>
      </w:r>
      <w:bookmarkEnd w:id="104"/>
    </w:p>
    <w:p w:rsidR="00BA0B5B" w:rsidRPr="00662F03" w:rsidRDefault="005B1628" w:rsidP="004E11D3">
      <w:pPr>
        <w:jc w:val="center"/>
        <w:rPr>
          <w:rFonts w:ascii="Calibri" w:hAnsi="Calibri"/>
        </w:rPr>
      </w:pPr>
      <w:r>
        <w:rPr>
          <w:rFonts w:ascii="Calibri" w:hAnsi="Calibri"/>
          <w:noProof/>
        </w:rPr>
        <w:drawing>
          <wp:inline distT="0" distB="0" distL="0" distR="0">
            <wp:extent cx="4925584" cy="2970559"/>
            <wp:effectExtent l="12192" t="6096" r="6334" b="225"/>
            <wp:docPr id="97" name="Wykres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AA21BF" w:rsidRPr="004756B5" w:rsidRDefault="00AA21BF" w:rsidP="00AA21BF">
      <w:pPr>
        <w:jc w:val="both"/>
        <w:rPr>
          <w:rFonts w:ascii="Calibri" w:hAnsi="Calibri" w:cs="Calibri"/>
          <w:noProof/>
          <w:sz w:val="18"/>
          <w:szCs w:val="20"/>
        </w:rPr>
      </w:pPr>
      <w:r w:rsidRPr="004756B5">
        <w:rPr>
          <w:rFonts w:ascii="Calibri" w:hAnsi="Calibri" w:cs="Calibri"/>
          <w:noProof/>
          <w:sz w:val="18"/>
          <w:szCs w:val="20"/>
        </w:rPr>
        <w:t>Źródło: opracowanie własne na podstawie wyników badań ankietowych.</w:t>
      </w:r>
    </w:p>
    <w:p w:rsidR="004E5A9A" w:rsidRDefault="004E5A9A" w:rsidP="004E5A9A">
      <w:pPr>
        <w:shd w:val="clear" w:color="auto" w:fill="FFFFFF"/>
        <w:spacing w:before="150" w:after="75"/>
        <w:jc w:val="both"/>
        <w:outlineLvl w:val="3"/>
        <w:rPr>
          <w:rFonts w:ascii="Calibri" w:hAnsi="Calibri" w:cs="Tahoma"/>
          <w:sz w:val="22"/>
          <w:szCs w:val="22"/>
        </w:rPr>
      </w:pPr>
    </w:p>
    <w:p w:rsidR="00500BF4" w:rsidRDefault="005433B6" w:rsidP="004E5A9A">
      <w:pPr>
        <w:shd w:val="clear" w:color="auto" w:fill="FFFFFF"/>
        <w:spacing w:before="150" w:after="75"/>
        <w:jc w:val="both"/>
        <w:outlineLvl w:val="3"/>
        <w:rPr>
          <w:rFonts w:ascii="Calibri" w:hAnsi="Calibri" w:cs="Tahoma"/>
          <w:sz w:val="22"/>
          <w:szCs w:val="22"/>
        </w:rPr>
      </w:pPr>
      <w:r>
        <w:rPr>
          <w:rFonts w:ascii="Calibri" w:hAnsi="Calibri" w:cs="Tahoma"/>
          <w:sz w:val="22"/>
          <w:szCs w:val="22"/>
        </w:rPr>
      </w:r>
      <w:r>
        <w:rPr>
          <w:rFonts w:ascii="Calibri" w:hAnsi="Calibri" w:cs="Tahoma"/>
          <w:sz w:val="22"/>
          <w:szCs w:val="22"/>
        </w:rPr>
        <w:pict>
          <v:rect id="_x0000_s1028"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28;mso-fit-shape-to-text:t" inset="28.8pt,7.2pt,14.4pt,28.8pt">
              <w:txbxContent>
                <w:p w:rsidR="00D24064" w:rsidRPr="00EC0E96" w:rsidRDefault="00D24064" w:rsidP="00500BF4">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500BF4">
                  <w:pPr>
                    <w:jc w:val="both"/>
                    <w:rPr>
                      <w:rFonts w:ascii="Calibri" w:hAnsi="Calibri"/>
                      <w:i/>
                      <w:iCs/>
                      <w:color w:val="1F497D"/>
                      <w:sz w:val="22"/>
                      <w:szCs w:val="28"/>
                    </w:rPr>
                  </w:pPr>
                  <w:r>
                    <w:rPr>
                      <w:rFonts w:ascii="Calibri" w:hAnsi="Calibri"/>
                      <w:i/>
                      <w:iCs/>
                      <w:color w:val="1F497D"/>
                      <w:sz w:val="22"/>
                      <w:szCs w:val="28"/>
                    </w:rPr>
                    <w:t xml:space="preserve">Miasto prowadzi działania promocyjne skierowane przede wszystkim do inwestorów i turystów. </w:t>
                  </w:r>
                  <w:r w:rsidRPr="00500BF4">
                    <w:rPr>
                      <w:rFonts w:ascii="Calibri" w:hAnsi="Calibri"/>
                      <w:i/>
                      <w:iCs/>
                      <w:color w:val="1F497D"/>
                      <w:sz w:val="22"/>
                      <w:szCs w:val="28"/>
                    </w:rPr>
                    <w:t xml:space="preserve">Obejmują one </w:t>
                  </w:r>
                  <w:r>
                    <w:rPr>
                      <w:rFonts w:ascii="Calibri" w:hAnsi="Calibri"/>
                      <w:i/>
                      <w:iCs/>
                      <w:color w:val="1F497D"/>
                      <w:sz w:val="22"/>
                      <w:szCs w:val="28"/>
                    </w:rPr>
                    <w:t xml:space="preserve">głównie </w:t>
                  </w:r>
                  <w:r w:rsidRPr="00500BF4">
                    <w:rPr>
                      <w:rFonts w:ascii="Calibri" w:hAnsi="Calibri"/>
                      <w:i/>
                      <w:iCs/>
                      <w:color w:val="1F497D"/>
                      <w:sz w:val="22"/>
                      <w:szCs w:val="28"/>
                    </w:rPr>
                    <w:t>udział w targach i konferencjach, a także dystrybucję wydawnictw promocyjnych i informacyjnych</w:t>
                  </w:r>
                  <w:r>
                    <w:rPr>
                      <w:rFonts w:ascii="Calibri" w:hAnsi="Calibri"/>
                      <w:i/>
                      <w:iCs/>
                      <w:color w:val="1F497D"/>
                      <w:sz w:val="22"/>
                      <w:szCs w:val="28"/>
                    </w:rPr>
                    <w:t>.</w:t>
                  </w:r>
                </w:p>
                <w:p w:rsidR="00D24064" w:rsidRPr="00EC0E96" w:rsidRDefault="00D24064" w:rsidP="00500BF4">
                  <w:pPr>
                    <w:jc w:val="both"/>
                    <w:rPr>
                      <w:rFonts w:ascii="Calibri" w:hAnsi="Calibri"/>
                      <w:i/>
                      <w:iCs/>
                      <w:color w:val="1F497D"/>
                      <w:sz w:val="22"/>
                      <w:szCs w:val="28"/>
                    </w:rPr>
                  </w:pPr>
                  <w:r>
                    <w:rPr>
                      <w:rFonts w:ascii="Calibri" w:hAnsi="Calibri"/>
                      <w:i/>
                      <w:iCs/>
                      <w:color w:val="1F497D"/>
                      <w:sz w:val="22"/>
                      <w:szCs w:val="28"/>
                    </w:rPr>
                    <w:t>Aktywne działania promujące Nową Sól związane są z promowaniem tradycji solnych oraz imprez związanych z tymi tradycjami.</w:t>
                  </w:r>
                </w:p>
              </w:txbxContent>
            </v:textbox>
            <w10:wrap type="none" anchorx="margin" anchory="page"/>
            <w10:anchorlock/>
          </v:rect>
        </w:pict>
      </w:r>
    </w:p>
    <w:p w:rsidR="00500BF4" w:rsidRPr="00500BF4" w:rsidRDefault="00500BF4" w:rsidP="004E5A9A">
      <w:pPr>
        <w:shd w:val="clear" w:color="auto" w:fill="FFFFFF"/>
        <w:spacing w:before="150" w:after="75"/>
        <w:jc w:val="both"/>
        <w:outlineLvl w:val="3"/>
        <w:rPr>
          <w:rFonts w:ascii="Calibri" w:hAnsi="Calibri" w:cs="Tahoma"/>
          <w:sz w:val="22"/>
          <w:szCs w:val="22"/>
        </w:rPr>
      </w:pPr>
    </w:p>
    <w:p w:rsidR="005567C5" w:rsidRPr="00662F03" w:rsidRDefault="005567C5" w:rsidP="007F5FC1">
      <w:pPr>
        <w:pStyle w:val="Nagwek1"/>
        <w:numPr>
          <w:ilvl w:val="0"/>
          <w:numId w:val="1"/>
        </w:numPr>
        <w:rPr>
          <w:rFonts w:ascii="Calibri" w:hAnsi="Calibri"/>
          <w:color w:val="17365D"/>
          <w:sz w:val="24"/>
        </w:rPr>
      </w:pPr>
      <w:bookmarkStart w:id="105" w:name="_Toc316395276"/>
      <w:r w:rsidRPr="00662F03">
        <w:rPr>
          <w:rFonts w:ascii="Calibri" w:hAnsi="Calibri"/>
          <w:color w:val="17365D"/>
          <w:sz w:val="24"/>
        </w:rPr>
        <w:t>Analiza współzależności zachodzących pomiędzy miastami i gminami Lubuskiego Trójmiasta</w:t>
      </w:r>
      <w:bookmarkEnd w:id="105"/>
    </w:p>
    <w:p w:rsidR="00AD2C0B" w:rsidRPr="00662F03" w:rsidRDefault="00AD2C0B" w:rsidP="00AD2C0B">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Lubuskie Trójmiasto to stowarzyszenie trzech gmin Nowa Sól, Zielona Góra, Sulechów. Powstało w 2006 roku w wyniku porozumienia pomiędzy miastami w celu wzmocnienia potencjału gospodarczego i inwestycyjnego regionu. Celem Stowarzyszenia jest wspieranie rozwoju lokalnego i regionalnego oraz obrona wspólnych interesów w zakresie:</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1) wspierania idei samorządowych oraz współpraca ze społecznościami lokalnymi,</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2) współpracy w zakresie gospodarki i zarządzania,</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3) zapewnienia bezpieczeństwa i porządku publicznego,</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4) dbałość o ochronę środowiska naturalnego i gospodarki wodnej,</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5) zabezpieczenia usług komunalnych na rzecz mieszkańców,</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6) wspólnej promocji,</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7) zarządzania gospodarką i infrastrukturą komunikacyjną,</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8) świadczenia usług społecznych, edukacyjnych, kulturalnych oraz turystyki i sportu,</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9) ochrony zdrowia.</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Stowarzyszenie realizuje swoje cele poprzez:</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1) podejmowanie wspólnych działań mających na celu poprawę życia społeczności lokalnych oraz rozwój gospodarczy,</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2) pozyskiwanie funduszy z Unii Europejskiej i budżetu Państwa,</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3) upowszechnianie korzystnego wizerunku,</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4) współpracę z organizacjami społecznymi, gospodarczymi, instytucjami krajowymi i zagranicznymi działającymi na rzecz społeczności lokalnych,</w:t>
      </w:r>
    </w:p>
    <w:p w:rsidR="00AD2C0B" w:rsidRPr="00662F03" w:rsidRDefault="00AD2C0B" w:rsidP="00465769">
      <w:pPr>
        <w:shd w:val="clear" w:color="auto" w:fill="FFFFFF"/>
        <w:jc w:val="both"/>
        <w:outlineLvl w:val="3"/>
        <w:rPr>
          <w:rFonts w:ascii="Calibri" w:hAnsi="Calibri" w:cs="Tahoma"/>
          <w:sz w:val="22"/>
          <w:szCs w:val="22"/>
        </w:rPr>
      </w:pPr>
      <w:r w:rsidRPr="00662F03">
        <w:rPr>
          <w:rFonts w:ascii="Calibri" w:hAnsi="Calibri" w:cs="Tahoma"/>
          <w:sz w:val="22"/>
          <w:szCs w:val="22"/>
        </w:rPr>
        <w:t>5) wszelkie inne działania mogące przyczynić się do realizacji celów Stowarzyszenia i interesów jego członków.</w:t>
      </w:r>
    </w:p>
    <w:p w:rsidR="000065C7" w:rsidRPr="00662F03" w:rsidRDefault="000065C7" w:rsidP="000065C7">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W ciągu kilku lat udały się dwa przedsięwzięcia:</w:t>
      </w:r>
    </w:p>
    <w:p w:rsidR="00D46589" w:rsidRPr="00662F03" w:rsidRDefault="000065C7" w:rsidP="002E6D83">
      <w:pPr>
        <w:pStyle w:val="Akapitzlist"/>
        <w:numPr>
          <w:ilvl w:val="0"/>
          <w:numId w:val="34"/>
        </w:numPr>
        <w:shd w:val="clear" w:color="auto" w:fill="FFFFFF"/>
        <w:spacing w:after="0" w:line="240" w:lineRule="auto"/>
        <w:jc w:val="both"/>
        <w:outlineLvl w:val="3"/>
        <w:rPr>
          <w:rFonts w:cs="Tahoma"/>
        </w:rPr>
      </w:pPr>
      <w:r w:rsidRPr="00662F03">
        <w:rPr>
          <w:rFonts w:cs="Tahoma"/>
        </w:rPr>
        <w:t>unijny projekt dotyczący portów nadodrzańskich</w:t>
      </w:r>
      <w:r w:rsidR="00D46589" w:rsidRPr="00662F03">
        <w:rPr>
          <w:rFonts w:cs="Tahoma"/>
        </w:rPr>
        <w:t xml:space="preserve"> pn.: „Budowa przystani turystycznych na Odrze w miejscowościach: Cigacice (gm. Sulechów), Nowa Sól i Bytom Odrzański - Etap I”</w:t>
      </w:r>
      <w:r w:rsidR="002E312F" w:rsidRPr="00662F03">
        <w:rPr>
          <w:rFonts w:cs="Tahoma"/>
        </w:rPr>
        <w:t>. W wyniku realizacji projektu powstały trzy przystanie rzeczne na Odrze w miejscowościach: Cigacicach (Gmina Sulechów), Nowej Soli oraz Bytomiu Odrzańskim. W Nowej Soli powstały stanowiska postojowe dla statków pasażerskich o długości kadłuba od 30 do 83 m, szerokości do 9,5 m, zanurzeniu do 1,5 m i nośności do 800 ton. Powstała tu również przystań dla małych jednostek turystyczno - rekreacyjnych oraz kładka piesza nad Kanałem Portowym. Zagospodarowano Harcerską Gajówkę ze sceną plenerową, budynkiem z toaletami i zapleczem socjalno-technicznym.</w:t>
      </w:r>
    </w:p>
    <w:p w:rsidR="005567C5" w:rsidRPr="00662F03" w:rsidRDefault="002E312F" w:rsidP="00F71F0A">
      <w:pPr>
        <w:pStyle w:val="Akapitzlist"/>
        <w:numPr>
          <w:ilvl w:val="0"/>
          <w:numId w:val="34"/>
        </w:numPr>
        <w:shd w:val="clear" w:color="auto" w:fill="FFFFFF"/>
        <w:spacing w:before="150" w:after="75" w:line="240" w:lineRule="auto"/>
        <w:jc w:val="both"/>
        <w:outlineLvl w:val="3"/>
        <w:rPr>
          <w:rFonts w:cs="Tahoma"/>
        </w:rPr>
      </w:pPr>
      <w:r w:rsidRPr="00662F03">
        <w:rPr>
          <w:rFonts w:cs="Tahoma"/>
        </w:rPr>
        <w:t xml:space="preserve">Szybka kolej Lubuskiego Trójmiasta opierająca się na modernizacji linii Zbąszynek – Czerwieńsk wraz budową łącznicy kolejowej Pomorsko – Przylep stanowiącej objazd stacji Czerwieńsk. Celem projektu jest usprawnienie połączenia kolejowego Zielona Góra - Zbąszynek - Gorzów Wlkp i Poznań - Warszawa przez zwiększenie prędkości do 100 km/godz, </w:t>
      </w:r>
      <w:r w:rsidRPr="00662F03">
        <w:rPr>
          <w:rFonts w:cs="Tahoma"/>
        </w:rPr>
        <w:lastRenderedPageBreak/>
        <w:t>skrócenie czasu jazdy o 33 minuty, poprawa bezpieczeństwa na przejazdach, zmniejszenie kosztów eksploatacji i utrzymania.</w:t>
      </w:r>
    </w:p>
    <w:p w:rsidR="00522CA1" w:rsidRPr="00662F03" w:rsidRDefault="00522CA1" w:rsidP="000065C7">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Od 2010 roku Gmina Sulechów, Miasto Nowa Sól i Miasto Zielona Góra uczestniczą w projekcie pn. "Nowoczesna administracja Lubuskiego Trójmiasta". Projekt realizowany jest w ramach Programu Operacyjnego "Kapitał Ludzki", Priorytet V: Dobre rządzenie, Działanie 5.2. Wzmocnienie potencjału administracji rządowej, Podziałanie 5.2.1. Modernizacja zarządzania w administracji samorządowej, a jego głównym beneficjentem jest "Lubuskie Trójmiasto".</w:t>
      </w:r>
    </w:p>
    <w:p w:rsidR="00522CA1" w:rsidRPr="00662F03" w:rsidRDefault="00522CA1" w:rsidP="00522CA1">
      <w:pPr>
        <w:shd w:val="clear" w:color="auto" w:fill="FFFFFF"/>
        <w:spacing w:before="150"/>
        <w:jc w:val="both"/>
        <w:outlineLvl w:val="3"/>
        <w:rPr>
          <w:rFonts w:ascii="Calibri" w:hAnsi="Calibri" w:cs="Tahoma"/>
          <w:sz w:val="22"/>
          <w:szCs w:val="22"/>
        </w:rPr>
      </w:pPr>
      <w:r w:rsidRPr="00662F03">
        <w:rPr>
          <w:rFonts w:ascii="Calibri" w:hAnsi="Calibri" w:cs="Tahoma"/>
          <w:sz w:val="22"/>
          <w:szCs w:val="22"/>
        </w:rPr>
        <w:t>Celem głównym realizowanego projektu jest poprawa świadczonych usług publicznych przez urzędy wchodzące w skład Stowarzyszenia Lubuskiego Trójmiasta (Zielona Góra , Nowa Sól, Sulechów). W ramach projektu realizowane są cztery działania:</w:t>
      </w:r>
    </w:p>
    <w:p w:rsidR="00522CA1" w:rsidRPr="00662F03" w:rsidRDefault="00522CA1" w:rsidP="002E6D83">
      <w:pPr>
        <w:pStyle w:val="Akapitzlist"/>
        <w:numPr>
          <w:ilvl w:val="0"/>
          <w:numId w:val="35"/>
        </w:numPr>
        <w:shd w:val="clear" w:color="auto" w:fill="FFFFFF"/>
        <w:spacing w:after="0" w:line="240" w:lineRule="auto"/>
        <w:ind w:left="284" w:hanging="284"/>
        <w:jc w:val="both"/>
        <w:outlineLvl w:val="3"/>
        <w:rPr>
          <w:rFonts w:cs="Tahoma"/>
        </w:rPr>
      </w:pPr>
      <w:r w:rsidRPr="00662F03">
        <w:rPr>
          <w:rFonts w:cs="Tahoma"/>
        </w:rPr>
        <w:t>Zarządzanie i promocja projektu. Zadania te realizowane są przez biuro projektu Lubuskiego Trójmiasta i obejmują między innymi, sprawozdawczość, monitoring, rozliczanie projektu, kierowanie i nadzór oraz kontakty z partnerami. Natomiast w urzędach w Zielonej Górze, Nowej Soli i Sulechowie powołane zostały zespoły projektowe, które nadzorują wdrażanie projektu, koordynują realizację szkoleń, wdrażanie metody CAF 2006, opracowanie strategii rozwoju oraz jej monitorowanie i ocenę, opracowanie mapy aktywności organizacji pozarządowych. Zadaniem zespołów jest również współpraca z biurem projektu oraz monitoring. Bezpośredni nadzór nad pracą zespołów projektowych pełnią powołani w każdym urzędzie koordynatorzy. Powołana została również grupa sterująca projektem, której zadaniem jest podejmowanie istotnych decyzji merytorycznych. W skład grupy sterującej wchodzą sekretarze gmin Lubuskiego Trójmiasta oraz kierownik projektu.</w:t>
      </w:r>
    </w:p>
    <w:p w:rsidR="00522CA1" w:rsidRPr="00662F03" w:rsidRDefault="00522CA1" w:rsidP="00F71F0A">
      <w:pPr>
        <w:pStyle w:val="Akapitzlist"/>
        <w:numPr>
          <w:ilvl w:val="0"/>
          <w:numId w:val="35"/>
        </w:numPr>
        <w:shd w:val="clear" w:color="auto" w:fill="FFFFFF"/>
        <w:spacing w:before="150" w:after="75" w:line="240" w:lineRule="auto"/>
        <w:ind w:left="284" w:hanging="284"/>
        <w:jc w:val="both"/>
        <w:outlineLvl w:val="3"/>
        <w:rPr>
          <w:rFonts w:cs="Tahoma"/>
        </w:rPr>
      </w:pPr>
      <w:r w:rsidRPr="00662F03">
        <w:rPr>
          <w:rFonts w:cs="Tahoma"/>
        </w:rPr>
        <w:t>Szkolenia. Szkolenia przeprowadzone zostaną w każdym z trzech urzędów przez wyspecjalizowane firmy wyłonione w wyniku przetargu nieograniczonego zgodnie z ustawą prawo zamówień publicznych. Szkolenia podzielone zostały na ogólne i specjalistyczne. W ramach szkoleń ogólnych realizowane będą dwa bloki zagadnień, pierwszy dotyczy komunikacji interpersonalnej i asertywności, drugi natomiast związany jest z radzeniem sobie ze stresem i rozwiązywaniem konfliktów. Blok szkoleń specjalistycznych obejmuje zagadnienia z zakresu kodeksu postępowania administracyjnego, egzekucji zobowiązań, podatków i opłat lokalnych, kodeksu pracy, zarządzenia zasobami ludzkimi oraz procesu przygotowania ofert inwestycyjnych. W Urzędzie Miejskim Sulechów szkoleniem objętych zostanie 70 pracowników.</w:t>
      </w:r>
    </w:p>
    <w:p w:rsidR="00522CA1" w:rsidRPr="00662F03" w:rsidRDefault="00522CA1" w:rsidP="00F71F0A">
      <w:pPr>
        <w:pStyle w:val="Akapitzlist"/>
        <w:numPr>
          <w:ilvl w:val="0"/>
          <w:numId w:val="35"/>
        </w:numPr>
        <w:shd w:val="clear" w:color="auto" w:fill="FFFFFF"/>
        <w:spacing w:before="150" w:after="75" w:line="240" w:lineRule="auto"/>
        <w:ind w:left="284" w:hanging="284"/>
        <w:jc w:val="both"/>
        <w:outlineLvl w:val="3"/>
        <w:rPr>
          <w:rFonts w:cs="Tahoma"/>
        </w:rPr>
      </w:pPr>
      <w:r w:rsidRPr="00662F03">
        <w:rPr>
          <w:rFonts w:cs="Tahoma"/>
        </w:rPr>
        <w:t>Strategia rozwoju oraz system monitorowania i ewaluacji - strategia opracowana będzie dla wszystkich gmin Lubuskiego Trójmiasta. W procesie pracy nad strategią przewidziane są konsultacje społeczne ze środowiskami gospodarczymi, naukowymi, instytucjami publicznymi, organizacjami pozarządowymi, środowiskami wiejskimi. Dzięki zintegrowanemu procesowi prac nad strategią, zostaną one dostosowane do permanentnie zmieniającego się otoczenia, i mają przyczynić się do wzrostu konkurencyjności gmin Lubuskiego Trójmiasta.</w:t>
      </w:r>
    </w:p>
    <w:p w:rsidR="00522CA1" w:rsidRPr="00662F03" w:rsidRDefault="00522CA1" w:rsidP="00F71F0A">
      <w:pPr>
        <w:pStyle w:val="Akapitzlist"/>
        <w:numPr>
          <w:ilvl w:val="0"/>
          <w:numId w:val="35"/>
        </w:numPr>
        <w:shd w:val="clear" w:color="auto" w:fill="FFFFFF"/>
        <w:spacing w:before="150" w:after="75" w:line="240" w:lineRule="auto"/>
        <w:ind w:left="284" w:hanging="284"/>
        <w:jc w:val="both"/>
        <w:outlineLvl w:val="3"/>
        <w:rPr>
          <w:rFonts w:cs="Tahoma"/>
        </w:rPr>
      </w:pPr>
      <w:r w:rsidRPr="00662F03">
        <w:rPr>
          <w:rFonts w:cs="Tahoma"/>
        </w:rPr>
        <w:t>Wdrożenie metody CAF 2006. Metoda CAF 2006 to rekom</w:t>
      </w:r>
      <w:r w:rsidR="00AA21BF" w:rsidRPr="00662F03">
        <w:rPr>
          <w:rFonts w:cs="Tahoma"/>
        </w:rPr>
        <w:t xml:space="preserve">endowane przez Unię Europejską </w:t>
      </w:r>
      <w:r w:rsidRPr="00662F03">
        <w:rPr>
          <w:rFonts w:cs="Tahoma"/>
        </w:rPr>
        <w:t>narzędzie kompleksowego zarządzania jakością przeznaczone dla administracji publicznej. Metoda CAF 2006 zakłada, iż osiągnięcie celów organizacji jest uzależnione od jakości przywództwa, strategii i planowania, ludzi, partnerstwa oraz procesów. Podczas wdrażania metody nastąpi także wymiana doświadczeń pomiędzy urzędami biorącymi udział w projekcie, zorganizowane zostaną warsztaty dla przedstawicieli urzędów, których celem między innymi będzie ocena potencjału Lubuskiego Trójmiasta. Funkcjonowanie urzędu w oparciu o samoocenę CAF 2006 staje się standardem. Polska aktualnie zajmuje 5 miejsce na świecie pod względem liczby urzędów, w których wdrożono metodę CAF 2006.</w:t>
      </w:r>
    </w:p>
    <w:p w:rsidR="00E25C4B" w:rsidRPr="00662F03" w:rsidRDefault="002E312F" w:rsidP="002E312F">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Ponadto Organizacja Pracodawców Ziemi Lubuskiej wspólnie z Instytutem Socjologii Uniwersytetu Zielonogórskiego, w ramach programu SPO RZL 2004-2006, działanie 1.1, zrealizowała projekt pn.: „Lubuskie Trójmiasto - kwalifikacje a rynek pracy". Celem projektu było wzmocnienie efektywności instytucji działających na rzecz rynku pracy Lubuskiego Trójmiasta. Efektem badań i diagnozy sytuacji rynku pracy jest raport, którego celem było ustalenie stopnia powiązania kwalifikacji z potrzebami lokalnego rynku pracy.</w:t>
      </w:r>
    </w:p>
    <w:p w:rsidR="0037001F" w:rsidRPr="00662F03" w:rsidRDefault="0037001F" w:rsidP="0037001F">
      <w:pPr>
        <w:shd w:val="clear" w:color="auto" w:fill="FFFFFF"/>
        <w:spacing w:before="150"/>
        <w:jc w:val="both"/>
        <w:outlineLvl w:val="3"/>
        <w:rPr>
          <w:rFonts w:ascii="Calibri" w:hAnsi="Calibri" w:cs="Tahoma"/>
          <w:b/>
          <w:i/>
          <w:color w:val="365F91"/>
          <w:sz w:val="22"/>
          <w:szCs w:val="22"/>
        </w:rPr>
      </w:pPr>
      <w:r w:rsidRPr="00662F03">
        <w:rPr>
          <w:rFonts w:ascii="Calibri" w:hAnsi="Calibri" w:cs="Tahoma"/>
          <w:b/>
          <w:i/>
          <w:color w:val="365F91"/>
          <w:sz w:val="22"/>
          <w:szCs w:val="22"/>
        </w:rPr>
        <w:lastRenderedPageBreak/>
        <w:t>Aglomeracja Zielonogórska</w:t>
      </w:r>
    </w:p>
    <w:p w:rsidR="0037001F" w:rsidRPr="00662F03" w:rsidRDefault="0037001F" w:rsidP="0037001F">
      <w:pPr>
        <w:shd w:val="clear" w:color="auto" w:fill="FFFFFF"/>
        <w:jc w:val="both"/>
        <w:outlineLvl w:val="3"/>
        <w:rPr>
          <w:rFonts w:ascii="Calibri" w:hAnsi="Calibri" w:cs="Tahoma"/>
          <w:sz w:val="22"/>
          <w:szCs w:val="22"/>
        </w:rPr>
      </w:pPr>
      <w:r w:rsidRPr="00662F03">
        <w:rPr>
          <w:rFonts w:ascii="Calibri" w:hAnsi="Calibri" w:cs="Tahoma"/>
          <w:sz w:val="22"/>
          <w:szCs w:val="22"/>
        </w:rPr>
        <w:t>Podczas spotkania władz samorządowych, które odbyło się w październiku 2011 r. powołano stowarzyszenie „Aglomeracja Zielonogórska”, a także uchwalono uchwałę o statucie i założeniu Aglomeracji Zielonogórskiej (AZ).</w:t>
      </w:r>
    </w:p>
    <w:p w:rsidR="0037001F" w:rsidRPr="00662F03" w:rsidRDefault="0037001F" w:rsidP="0037001F">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Głównym celem działania AZ jest wspieranie idei samorządu terytorialnego oraz obrona wspólnych interesów podmiotów będących członkami Stowarzyszenia działającego w ramach podregionu Zielonogórskiego; a także inicjowanie, propagowanie, przygotowywanie i realizacja wspólnych przedsięwzięć służących rozwojowi gospodarczemu obszaru, na terenie którego działają członkowie stowarzyszenia.</w:t>
      </w:r>
    </w:p>
    <w:p w:rsidR="00465769" w:rsidRPr="00662F03" w:rsidRDefault="0037001F" w:rsidP="0037001F">
      <w:pPr>
        <w:shd w:val="clear" w:color="auto" w:fill="FFFFFF"/>
        <w:spacing w:before="150" w:after="75"/>
        <w:jc w:val="both"/>
        <w:outlineLvl w:val="3"/>
        <w:rPr>
          <w:rFonts w:ascii="Calibri" w:hAnsi="Calibri" w:cs="Tahoma"/>
          <w:sz w:val="22"/>
          <w:szCs w:val="22"/>
        </w:rPr>
      </w:pPr>
      <w:r w:rsidRPr="00662F03">
        <w:rPr>
          <w:rFonts w:ascii="Calibri" w:hAnsi="Calibri" w:cs="Tahoma"/>
          <w:sz w:val="22"/>
          <w:szCs w:val="22"/>
        </w:rPr>
        <w:t>Przyjęty statut Stowarzyszenia „Aglomeracja Zielonogórska” ma pozwolić na rozpoczęcie ścisłej współpracy środowisk samorządowych, gospodarczych i naukowych działających na terenie podregionu Zielonogórskiego. Wszystkie działania AZ będą realizowane w czterech obszarach: komunikacyjnym, gospodarczym, edukacyjnym oraz turystycznym. W realizacji tych zamierzeń planuje się korzystanie ze środków pomocowych Unii Europejskiej. Głównym celem stowarzyszenia jest określenie najważniejszych wspólnych ponadgminnych priorytetów mających doprowadzić do zrównoważonego rozwoju społeczno-gospodarczego obszaru Aglomeracji Zielonogórskiej.</w:t>
      </w:r>
    </w:p>
    <w:p w:rsidR="0037001F" w:rsidRPr="00662F03" w:rsidRDefault="0037001F" w:rsidP="0037001F">
      <w:pPr>
        <w:shd w:val="clear" w:color="auto" w:fill="FFFFFF"/>
        <w:spacing w:before="150"/>
        <w:jc w:val="both"/>
        <w:outlineLvl w:val="3"/>
        <w:rPr>
          <w:rFonts w:ascii="Calibri" w:hAnsi="Calibri" w:cs="Tahoma"/>
          <w:b/>
          <w:i/>
          <w:color w:val="365F91"/>
          <w:sz w:val="22"/>
          <w:szCs w:val="22"/>
        </w:rPr>
      </w:pPr>
      <w:r w:rsidRPr="00662F03">
        <w:rPr>
          <w:rFonts w:ascii="Calibri" w:hAnsi="Calibri" w:cs="Tahoma"/>
          <w:b/>
          <w:i/>
          <w:color w:val="365F91"/>
          <w:sz w:val="22"/>
          <w:szCs w:val="22"/>
        </w:rPr>
        <w:t>NIEDOPASOWANIE kwalifikacje a rynek pracy w Lubuskim Trójmieście</w:t>
      </w:r>
    </w:p>
    <w:p w:rsidR="0037001F" w:rsidRPr="00662F03" w:rsidRDefault="0037001F" w:rsidP="0037001F">
      <w:pPr>
        <w:shd w:val="clear" w:color="auto" w:fill="FFFFFF"/>
        <w:jc w:val="both"/>
        <w:outlineLvl w:val="3"/>
        <w:rPr>
          <w:rFonts w:ascii="Calibri" w:hAnsi="Calibri" w:cs="Tahoma"/>
          <w:sz w:val="22"/>
          <w:szCs w:val="22"/>
        </w:rPr>
      </w:pPr>
      <w:r w:rsidRPr="00662F03">
        <w:rPr>
          <w:rFonts w:ascii="Calibri" w:hAnsi="Calibri" w:cs="Tahoma"/>
          <w:sz w:val="22"/>
          <w:szCs w:val="22"/>
        </w:rPr>
        <w:t>Badania zostały przeprowadzone na obszarze tzw. Lubuskiego Trójmiasta, czyli w Zielonej Górze, Nowej Soli, Sulechowie i innych miejscowościach należących do trzech powiatów: zielonogórskiego– ziemskiego i grodzkiego oraz nowosolskiego.</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Celem badań było ustalenie stopnia powiązania kwalifikacji z potrzebami lokalnego rynku pracy.</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Rynek pracy Lubuskiego Trójmiasta zdominowany jest przez małe firmy, działające głównie w sferze handlu i napraw oraz obsługi nieruchomości, wynajmu i działalności związanej z prowadzeniem interesów, a także w przetwórstwie przemysłowym, budownictwie i transporcie, gospodarce magazynowej i łączności. Badane podmioty zatrudniają najczęściej dobrze wykształconych mężczyzn w wieku 30-40 lat oraz powyżej 50 roku życia. Z powodu braku doświadczenia najmniej chętnie zatrudniane są osoby młode (do trzydziestego roku życia), co stanowi duże zagrożenie bezrobociem dla najmłodszych kategorii wiekowych.</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⅓ badanych firm miała problemy ze znalezieniem odpowiednio wykwalifikowanych pracowników. Głównymi powodami problemów ze znalezieniem kadry był brak jakichkolwiek chętnych do pracy lub nieodpowiednie ich kwalifikacje Do zawodów deficytowych w grupie wykwalifikowanych pracowników fizycznych zaliczyliśmy pracowników w następujących zawodach: sprzedawców i kasjerów, kucharzy i kelnerów, murarzy, betoniarzy, tynkarzy, robotników przy obróbce metali, złotników, spawaczy, grawerów, kontrolerów i kierowców. Natomiast wśród specjalistów najczęściej brakowało: ekonomistów, specjalistów bankowości, nauczycieli, specjalistów PR oraz informatyków, a także pracowników usług, jak inspektorzy i projektanci. Grupa ekonomistów i pracowników związanych z bankowością odznacza się największą fluktuacją.</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Ponadto coraz częściej na rynku pracy Lubuskiego Trójmiasta będą się liczyć kompetencje pracowników, ponieważ informacja i wiedza stały się zasobami poszukiwanymi i wysoko wycenianymi. Tego typu przemiany muszą implikować wzrost roli różnego rodzaju specjalistów. Reprezentanci zawodów nadwyżkowych ujawnionych w badaniu wśród kategorii specjalistów, zwalnianych w ⅖ badanych firm to: pracownicy naukowo – dydaktyczni, nauczyciele, ekonomiści i specjaliści bankowości. W kategorii fizycznych spadło zapotrzebowanie na robotników przy wydobywaniu ropy i gazu, naprawy wyrobów ze skóry, gumy, papieru i tworzyw sztucznych, elektromonterów i elektromechaników</w:t>
      </w:r>
      <w:r w:rsidR="004A24CA">
        <w:rPr>
          <w:rFonts w:ascii="Calibri" w:hAnsi="Calibri" w:cs="Tahoma"/>
          <w:bCs/>
          <w:sz w:val="22"/>
          <w:szCs w:val="22"/>
        </w:rPr>
        <w:t>.</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 xml:space="preserve">Istnieje konieczność intensyfikacji współpracy pomiędzy pracodawcami a instytucjami rynku pracy. Wyniki badań stwierdzają, że kontakt ten wydaje się być jednostronny, ponieważ przedstawiciele </w:t>
      </w:r>
      <w:r w:rsidRPr="00662F03">
        <w:rPr>
          <w:rFonts w:ascii="Calibri" w:hAnsi="Calibri" w:cs="Tahoma"/>
          <w:bCs/>
          <w:sz w:val="22"/>
          <w:szCs w:val="22"/>
        </w:rPr>
        <w:lastRenderedPageBreak/>
        <w:t>Urzędów Pracy nie wykorzystują tego typu możliwości do ułatwiania osobom bezrobotnym znalezienia zatrudnienia.</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Pracodawcy mają duży problem z przekazywaniem informacji jednostkom edukacyjnym o zapotrzebowaniu na pracowników o określonych kwalifikacjach, a szkoły nie są w stanie w prosty sposób reagować na nie dając rynkowe kwalifikacje swoim podopiecznym. Wspólnie podejmowane działania dotyczą jedynie przyjmowania uczniów na praktyki, oraz przekazywania informacji o możliwościach zatrudniania absolwentów. Największymi barierami w tej współpracy są brak wiedzy na jej temat wśród pracodawców, brak elastyczności instytucji oświatowych i nieuświadamianie sobie jej potrzeby.</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Ponad ⅔ mieszkańców Lubuskiego Trójmiasta posiada wykształcenie co najmniej średnie. Poziom znajomości języków obcych mieszkańców Lubuskiego Trójmiasta jest niski i może stanowić barierę w poszukiwaniu miejsca pracy. Ponad połowa badanych nie wykonuje wyuczonego zawodu. Podjęcie pracy wymagało więc zdobycia nowych umiejętności.</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Respondenci badania zauważają zjawisko niedopasowania swoich wyborów edukacyjnych do wymogów rynku pracy. Uczniowie i studenci dostrzegają własne słabości wchodząc na rynek pracy. Do podstawowych należy zaliczyć brak doświadczenia zawodowego.</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Diagnoza kwalifikacji oraz planów edukacyjno-zawodowych absolwentów ujawniła także słabości systemu kształcenia zawodowego w placówkach edukacyjnych na terenie Lubuskiego Trójmiasta, a co za tym idzie pozwoliła nakreślić potrzeby oraz kierunki zmian. Wyniki analiz pokazują, że instytucje edukacyjne powinny położyć większy nacisk przede wszystkim na praktyczne strony kształcenia zawodowego, w tym zwiększenie ilości godzin przeznaczonych na praktyki. Można też dostrzec, że dla absolwentów, jako potencjalnych pracowników, ważna jest znajomość języków obcych oraz obsługi komputera. Ze względu na to, że wskazywany poziom znajomości języków jest niski, a wskazywana potrzeba samodokształcania w tym względzie duża – wnioskować należy, że ten aspekt kształcenia jest realizowany przez szkoły w niewystarczającym stopniu.</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Podsumowując, przeprowadzone badania ujawniają niedopasowanie kwalifikacji uczniów i studentów wkraczających na rynek pracy do wymogów przez ten rynek stawianych. Można mówić z jednej strony o nieracjonalnych decyzjach uczniów, z drugiej o niezgodnych z oczekiwaniami praktykach instytucji edukacyjnych.</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W ofertach szkół średnich najczęściej pojawiają się takie kierunki kształcenia jak: technik hotelarstwa, turystyki, agrobiznesu, technik informatyk, technik mechatronik, technik handlowiec. Natomiast w szkołach zawodowych zasadniczych najszerzej oferowane jest kształcenie w zawodzie mechanika pojazdów samochodowych, fryzjera, kosmetyczki, kucharza. Kilka z tych kierunków kształcenia znajduje się na liście zawodów nadwyżkowych opublikowanej przez WUP, co świadczy o niepełnym dostosowaniu oferty do rynku pracy.</w:t>
      </w:r>
    </w:p>
    <w:p w:rsidR="0037001F" w:rsidRPr="00662F03" w:rsidRDefault="0037001F" w:rsidP="0037001F">
      <w:pPr>
        <w:shd w:val="clear" w:color="auto" w:fill="FFFFFF"/>
        <w:spacing w:before="150"/>
        <w:jc w:val="both"/>
        <w:outlineLvl w:val="3"/>
        <w:rPr>
          <w:rFonts w:ascii="Calibri" w:hAnsi="Calibri" w:cs="Tahoma"/>
          <w:bCs/>
          <w:sz w:val="22"/>
          <w:szCs w:val="22"/>
        </w:rPr>
      </w:pPr>
      <w:r w:rsidRPr="00662F03">
        <w:rPr>
          <w:rFonts w:ascii="Calibri" w:hAnsi="Calibri" w:cs="Tahoma"/>
          <w:bCs/>
          <w:sz w:val="22"/>
          <w:szCs w:val="22"/>
        </w:rPr>
        <w:t>Trudności w dostosowaniu oferty edukacyjnej do rynku pracy, wskazywane przez środowisko edukacyjne, można podzielić na trzy grupy:</w:t>
      </w:r>
    </w:p>
    <w:p w:rsidR="0037001F" w:rsidRPr="00662F03" w:rsidRDefault="0037001F" w:rsidP="00227474">
      <w:pPr>
        <w:numPr>
          <w:ilvl w:val="0"/>
          <w:numId w:val="48"/>
        </w:numPr>
        <w:shd w:val="clear" w:color="auto" w:fill="FFFFFF"/>
        <w:ind w:left="714" w:hanging="357"/>
        <w:jc w:val="both"/>
        <w:outlineLvl w:val="3"/>
        <w:rPr>
          <w:rFonts w:ascii="Calibri" w:hAnsi="Calibri" w:cs="Tahoma"/>
          <w:bCs/>
          <w:sz w:val="22"/>
          <w:szCs w:val="22"/>
        </w:rPr>
      </w:pPr>
      <w:r w:rsidRPr="00662F03">
        <w:rPr>
          <w:rFonts w:ascii="Calibri" w:hAnsi="Calibri" w:cs="Tahoma"/>
          <w:bCs/>
          <w:sz w:val="22"/>
          <w:szCs w:val="22"/>
        </w:rPr>
        <w:t>niedosyt informacyjny, szczególnie brak informacji o zapotrzebowaniu na absolwentów, brak zrozumienia,</w:t>
      </w:r>
    </w:p>
    <w:p w:rsidR="0037001F" w:rsidRPr="00662F03" w:rsidRDefault="0037001F" w:rsidP="00227474">
      <w:pPr>
        <w:numPr>
          <w:ilvl w:val="0"/>
          <w:numId w:val="48"/>
        </w:numPr>
        <w:shd w:val="clear" w:color="auto" w:fill="FFFFFF"/>
        <w:ind w:left="714" w:hanging="357"/>
        <w:jc w:val="both"/>
        <w:outlineLvl w:val="3"/>
        <w:rPr>
          <w:rFonts w:ascii="Calibri" w:hAnsi="Calibri" w:cs="Tahoma"/>
          <w:bCs/>
          <w:sz w:val="22"/>
          <w:szCs w:val="22"/>
        </w:rPr>
      </w:pPr>
      <w:r w:rsidRPr="00662F03">
        <w:rPr>
          <w:rFonts w:ascii="Calibri" w:hAnsi="Calibri" w:cs="Tahoma"/>
          <w:bCs/>
          <w:sz w:val="22"/>
          <w:szCs w:val="22"/>
        </w:rPr>
        <w:t>braki finansowe uniemożliwiające stałe unowocześnianie warunków kształcenia,</w:t>
      </w:r>
    </w:p>
    <w:p w:rsidR="0037001F" w:rsidRPr="00662F03" w:rsidRDefault="0037001F" w:rsidP="00227474">
      <w:pPr>
        <w:numPr>
          <w:ilvl w:val="0"/>
          <w:numId w:val="48"/>
        </w:numPr>
        <w:shd w:val="clear" w:color="auto" w:fill="FFFFFF"/>
        <w:ind w:left="714" w:hanging="357"/>
        <w:jc w:val="both"/>
        <w:outlineLvl w:val="3"/>
        <w:rPr>
          <w:rFonts w:ascii="Calibri" w:hAnsi="Calibri" w:cs="Tahoma"/>
          <w:bCs/>
          <w:sz w:val="22"/>
          <w:szCs w:val="22"/>
        </w:rPr>
      </w:pPr>
      <w:r w:rsidRPr="00662F03">
        <w:rPr>
          <w:rFonts w:ascii="Calibri" w:hAnsi="Calibri" w:cs="Tahoma"/>
          <w:bCs/>
          <w:sz w:val="22"/>
          <w:szCs w:val="22"/>
        </w:rPr>
        <w:t>niedoskonałość systemu, w szczególności obniżenie prestiżu szkolnictwa zawodowego, zbyt późna orientacja zawodowa.</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Oferta edukacyjna szkół wyższych Lubuskiego Trójmiasta jest zróżnicowana i dynamiczna – ustawicznie modyfikowana. Także ustawicznym zmianom podlegają programy kształcenia na już oferowanych kierunkach. Zmiany wprowadzane są wskutek uwag i zainteresowań samych studentów, sygnałów płynących z przedsiębiorstw, poprawy infrastruktury technicznej szkoły, ale także są wymuszane przez niedostatki finansowe uczelni.</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lastRenderedPageBreak/>
        <w:t>Praktyki studenckie są najbardziej popularną formą współpracy między uczelniami/wydziałami a pracodawcami.</w:t>
      </w:r>
    </w:p>
    <w:p w:rsidR="0037001F" w:rsidRPr="00662F03" w:rsidRDefault="0037001F" w:rsidP="0037001F">
      <w:pPr>
        <w:shd w:val="clear" w:color="auto" w:fill="FFFFFF"/>
        <w:spacing w:before="150" w:after="75"/>
        <w:jc w:val="both"/>
        <w:outlineLvl w:val="3"/>
        <w:rPr>
          <w:rFonts w:ascii="Calibri" w:hAnsi="Calibri" w:cs="Tahoma"/>
          <w:bCs/>
          <w:sz w:val="22"/>
          <w:szCs w:val="22"/>
        </w:rPr>
      </w:pPr>
      <w:r w:rsidRPr="00662F03">
        <w:rPr>
          <w:rFonts w:ascii="Calibri" w:hAnsi="Calibri" w:cs="Tahoma"/>
          <w:bCs/>
          <w:sz w:val="22"/>
          <w:szCs w:val="22"/>
        </w:rPr>
        <w:t>W Lubuskim Trójmieście mamy do czynienia ze słabym powiązaniem rynku pracy i rynku edukacyjnego, co z kolei owocuje słabym powiązaniem kwalifikacji mieszkańców z bieżącymi i przyszłymi potrzebami gospodarki. Poprawa tej sytuacji wymaga upowszechnienia wśród pracodawców, pracobiorców, dyrektorów placówek edukacyjnych, uczniów i studentów takich form aktywności na rynku pracy i w dziedzinie edukacji, które będą sprzyjały wypracowaniu wspólnych reguł działania, przełamujących ostry podział na sferę rynkową i pozarynkową.</w:t>
      </w:r>
    </w:p>
    <w:p w:rsidR="000065C7" w:rsidRPr="00662F03" w:rsidRDefault="000065C7" w:rsidP="004E5A9A">
      <w:pPr>
        <w:shd w:val="clear" w:color="auto" w:fill="FFFFFF"/>
        <w:spacing w:before="150" w:after="75"/>
        <w:jc w:val="both"/>
        <w:outlineLvl w:val="3"/>
        <w:rPr>
          <w:rFonts w:ascii="Calibri" w:hAnsi="Calibri" w:cs="Tahoma"/>
          <w:color w:val="333333"/>
          <w:sz w:val="22"/>
          <w:szCs w:val="22"/>
        </w:rPr>
      </w:pPr>
    </w:p>
    <w:p w:rsidR="004717D3" w:rsidRPr="00662F03" w:rsidRDefault="005433B6" w:rsidP="004E5A9A">
      <w:pPr>
        <w:shd w:val="clear" w:color="auto" w:fill="FFFFFF"/>
        <w:jc w:val="both"/>
        <w:outlineLvl w:val="3"/>
        <w:rPr>
          <w:rFonts w:ascii="Calibri" w:hAnsi="Calibri"/>
        </w:rPr>
      </w:pPr>
      <w:r>
        <w:rPr>
          <w:rFonts w:ascii="Calibri" w:hAnsi="Calibri"/>
        </w:rPr>
      </w:r>
      <w:r w:rsidR="00072369">
        <w:rPr>
          <w:rFonts w:ascii="Calibri" w:hAnsi="Calibri"/>
        </w:rPr>
        <w:pict>
          <v:roundrect id="_x0000_s1027" style="width:405.15pt;height:39.1pt;mso-width-percent:900;mso-position-horizontal-relative:char;mso-position-vertical-relative:line;mso-width-percent:900;mso-width-relative:margin" arcsize="2543f" o:allowincell="f" stroked="f">
            <v:shadow on="t" type="perspective" color="#4f81bd" origin="-.5,-.5" offset="-3pt,-3pt" offset2="6pt,6pt" matrix=".75,,,.75"/>
            <v:textbox style="mso-next-textbox:#_x0000_s1027;mso-fit-shape-to-text:t" inset=",,36pt,18pt">
              <w:txbxContent>
                <w:p w:rsidR="00D24064" w:rsidRPr="00EC0E96" w:rsidRDefault="00D24064" w:rsidP="004717D3">
                  <w:pPr>
                    <w:rPr>
                      <w:rFonts w:ascii="Calibri" w:hAnsi="Calibri" w:cs="Calibri"/>
                      <w:i/>
                      <w:iCs/>
                      <w:color w:val="7F7F7F"/>
                      <w:sz w:val="28"/>
                      <w:szCs w:val="32"/>
                    </w:rPr>
                  </w:pPr>
                  <w:r w:rsidRPr="00EC0E96">
                    <w:rPr>
                      <w:rFonts w:ascii="Calibri" w:hAnsi="Calibri" w:cs="Calibri"/>
                      <w:i/>
                      <w:iCs/>
                      <w:color w:val="7F7F7F"/>
                      <w:sz w:val="28"/>
                      <w:szCs w:val="32"/>
                    </w:rPr>
                    <w:t>Zdaniem opinii publicznej</w:t>
                  </w:r>
                </w:p>
              </w:txbxContent>
            </v:textbox>
            <w10:wrap type="none" anchorx="page" anchory="margin"/>
            <w10:anchorlock/>
          </v:roundrect>
        </w:pict>
      </w:r>
    </w:p>
    <w:p w:rsidR="004717D3" w:rsidRPr="000C3BB9" w:rsidRDefault="00497DAA" w:rsidP="004E5A9A">
      <w:pPr>
        <w:shd w:val="clear" w:color="auto" w:fill="FFFFFF"/>
        <w:spacing w:before="150" w:after="75"/>
        <w:jc w:val="both"/>
        <w:outlineLvl w:val="3"/>
        <w:rPr>
          <w:rFonts w:ascii="Calibri" w:hAnsi="Calibri" w:cs="Calibri"/>
          <w:shadow/>
          <w:color w:val="808080"/>
          <w:sz w:val="22"/>
        </w:rPr>
      </w:pPr>
      <w:r w:rsidRPr="000C3BB9">
        <w:rPr>
          <w:rFonts w:ascii="Calibri" w:hAnsi="Calibri" w:cs="Calibri"/>
          <w:shadow/>
          <w:color w:val="808080"/>
          <w:sz w:val="22"/>
        </w:rPr>
        <w:t xml:space="preserve">Większość respondentów nie wie, czym jest Lubuskie Trójmiasto. Wśród osób, które zadeklarowały, że nie słyszały o Lubuskim Trójmieście lub słyszały, ale nie potrafią podać nazw gmin wchodzących w jego skład, jest 65% mieszkańców miasta. 48% słyszało określenie Lubuskie Trójmiasto. Częściej rozpoznają Lubuskie Trójmiasto mężczyźni. Wśród respondentów z wyższym wykształceniem dominują (72%) osoby prawidłowo rozpoznające Lubuskie Trójmiasto. Absolwenci szkół zasadniczych zawodowych i poniżej </w:t>
      </w:r>
      <w:r w:rsidR="00ED37F4" w:rsidRPr="000C3BB9">
        <w:rPr>
          <w:rFonts w:ascii="Calibri" w:hAnsi="Calibri" w:cs="Calibri"/>
          <w:shadow/>
          <w:color w:val="808080"/>
          <w:sz w:val="22"/>
        </w:rPr>
        <w:t>już tylko w 23% potrafili wskazać prawidłową odpowiedź na pytania dotyczące Lubuskiego Trójmiasta. Wśród grup wiekowych najlepiej doinformowani w badanym zakresie są mieszkańcy w wieku 30-59 lat.</w:t>
      </w:r>
    </w:p>
    <w:p w:rsidR="00ED37F4" w:rsidRPr="000C3BB9" w:rsidRDefault="00ED37F4" w:rsidP="004E5A9A">
      <w:pPr>
        <w:shd w:val="clear" w:color="auto" w:fill="FFFFFF"/>
        <w:spacing w:before="150" w:after="75"/>
        <w:jc w:val="both"/>
        <w:outlineLvl w:val="3"/>
        <w:rPr>
          <w:rFonts w:ascii="Calibri" w:hAnsi="Calibri" w:cs="Calibri"/>
          <w:shadow/>
          <w:color w:val="808080"/>
          <w:sz w:val="22"/>
        </w:rPr>
      </w:pPr>
      <w:r w:rsidRPr="000C3BB9">
        <w:rPr>
          <w:rFonts w:ascii="Calibri" w:hAnsi="Calibri" w:cs="Calibri"/>
          <w:b/>
          <w:shadow/>
          <w:color w:val="808080"/>
          <w:sz w:val="22"/>
        </w:rPr>
        <w:t>Wnioski:</w:t>
      </w:r>
      <w:r w:rsidRPr="000C3BB9">
        <w:rPr>
          <w:rFonts w:ascii="Calibri" w:hAnsi="Calibri" w:cs="Calibri"/>
          <w:shadow/>
          <w:color w:val="808080"/>
          <w:sz w:val="22"/>
        </w:rPr>
        <w:t xml:space="preserve"> Lubuskie Trójmiasto nie jest dobrze rozpoznawalne. Im niższe wykształcenie mieszkańców miasta, tym rozpoznawalność Lubuskiego Trójmiasta jest gorsza. Najmniej doinformowaną w badanym zakresie grupą są osoby najstarsze. W ramach strategii należy przewidzieć wzmocnienie działań na rzecz podniesienia świadomości o Lubuskim Trójmieście, szczególnie poprzez media skierowane do osób z niższym wykształceniem, ludzi młodych oraz osób najstarszych.</w:t>
      </w:r>
    </w:p>
    <w:p w:rsidR="000C3BB9" w:rsidRDefault="00ED37F4" w:rsidP="0096057E">
      <w:pPr>
        <w:shd w:val="clear" w:color="auto" w:fill="FFFFFF"/>
        <w:spacing w:before="150" w:after="75"/>
        <w:jc w:val="both"/>
        <w:outlineLvl w:val="3"/>
        <w:rPr>
          <w:rFonts w:ascii="Calibri" w:hAnsi="Calibri" w:cs="Calibri"/>
          <w:shadow/>
          <w:color w:val="808080"/>
          <w:sz w:val="22"/>
        </w:rPr>
      </w:pPr>
      <w:r w:rsidRPr="000C3BB9">
        <w:rPr>
          <w:rFonts w:ascii="Calibri" w:hAnsi="Calibri" w:cs="Calibri"/>
          <w:shadow/>
          <w:color w:val="808080"/>
          <w:sz w:val="22"/>
        </w:rPr>
        <w:t>Wykres prezentuje rozkład odpowiedzi w poszczególnych badanych grupach na złożone pytanie, czy respondenci słyszeli określenie Lubuskie Trójmiasto i jeśli tak, to czy potrafią wymienić miasta wchodzące w jego skład.</w:t>
      </w:r>
    </w:p>
    <w:p w:rsidR="00ED37F4" w:rsidRPr="004756B5" w:rsidRDefault="00AA21BF" w:rsidP="000D1233">
      <w:pPr>
        <w:pStyle w:val="Legenda"/>
        <w:rPr>
          <w:rFonts w:ascii="Calibri" w:hAnsi="Calibri"/>
          <w:b w:val="0"/>
          <w:sz w:val="18"/>
        </w:rPr>
      </w:pPr>
      <w:bookmarkStart w:id="106" w:name="_Toc315790540"/>
      <w:r w:rsidRPr="004756B5">
        <w:rPr>
          <w:rFonts w:ascii="Calibri" w:hAnsi="Calibri"/>
          <w:b w:val="0"/>
          <w:sz w:val="18"/>
        </w:rPr>
        <w:t xml:space="preserve">Wykres </w:t>
      </w:r>
      <w:r w:rsidR="005433B6" w:rsidRPr="004756B5">
        <w:rPr>
          <w:rFonts w:ascii="Calibri" w:hAnsi="Calibri"/>
          <w:b w:val="0"/>
          <w:sz w:val="18"/>
        </w:rPr>
        <w:fldChar w:fldCharType="begin"/>
      </w:r>
      <w:r w:rsidRPr="004756B5">
        <w:rPr>
          <w:rFonts w:ascii="Calibri" w:hAnsi="Calibri"/>
          <w:b w:val="0"/>
          <w:sz w:val="18"/>
        </w:rPr>
        <w:instrText xml:space="preserve"> SEQ Wykres \* ARABIC </w:instrText>
      </w:r>
      <w:r w:rsidR="005433B6" w:rsidRPr="004756B5">
        <w:rPr>
          <w:rFonts w:ascii="Calibri" w:hAnsi="Calibri"/>
          <w:b w:val="0"/>
          <w:sz w:val="18"/>
        </w:rPr>
        <w:fldChar w:fldCharType="separate"/>
      </w:r>
      <w:r w:rsidR="00D377D1" w:rsidRPr="004756B5">
        <w:rPr>
          <w:rFonts w:ascii="Calibri" w:hAnsi="Calibri"/>
          <w:b w:val="0"/>
          <w:noProof/>
          <w:sz w:val="18"/>
        </w:rPr>
        <w:t>71</w:t>
      </w:r>
      <w:r w:rsidR="005433B6" w:rsidRPr="004756B5">
        <w:rPr>
          <w:rFonts w:ascii="Calibri" w:hAnsi="Calibri"/>
          <w:b w:val="0"/>
          <w:sz w:val="18"/>
        </w:rPr>
        <w:fldChar w:fldCharType="end"/>
      </w:r>
      <w:r w:rsidRPr="004756B5">
        <w:rPr>
          <w:rFonts w:ascii="Calibri" w:hAnsi="Calibri"/>
          <w:b w:val="0"/>
          <w:sz w:val="18"/>
        </w:rPr>
        <w:t>.</w:t>
      </w:r>
      <w:r w:rsidR="004756B5" w:rsidRPr="004756B5">
        <w:rPr>
          <w:rFonts w:ascii="Calibri" w:hAnsi="Calibri"/>
          <w:b w:val="0"/>
          <w:sz w:val="18"/>
        </w:rPr>
        <w:t xml:space="preserve"> Rozkład odpowiedzi na pytanie o rozpoznawalność Lubuskiego Trójmiasta.</w:t>
      </w:r>
      <w:bookmarkEnd w:id="106"/>
    </w:p>
    <w:p w:rsidR="00ED37F4" w:rsidRPr="00662F03" w:rsidRDefault="005B1628" w:rsidP="000D1233">
      <w:pPr>
        <w:shd w:val="clear" w:color="auto" w:fill="FFFFFF"/>
        <w:jc w:val="center"/>
        <w:outlineLvl w:val="3"/>
        <w:rPr>
          <w:rFonts w:ascii="Calibri" w:hAnsi="Calibri" w:cs="Tahoma"/>
          <w:color w:val="333333"/>
          <w:sz w:val="22"/>
          <w:szCs w:val="22"/>
        </w:rPr>
      </w:pPr>
      <w:r>
        <w:rPr>
          <w:rFonts w:ascii="Calibri" w:hAnsi="Calibri" w:cs="Tahoma"/>
          <w:noProof/>
          <w:color w:val="333333"/>
          <w:sz w:val="22"/>
          <w:szCs w:val="22"/>
        </w:rPr>
        <w:drawing>
          <wp:inline distT="0" distB="0" distL="0" distR="0">
            <wp:extent cx="5136967" cy="3139653"/>
            <wp:effectExtent l="19050" t="0" r="25583" b="3597"/>
            <wp:docPr id="99"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AA21BF" w:rsidRPr="004756B5" w:rsidRDefault="00AA21BF" w:rsidP="000D1233">
      <w:pPr>
        <w:jc w:val="both"/>
        <w:rPr>
          <w:rFonts w:ascii="Calibri" w:hAnsi="Calibri" w:cs="Calibri"/>
          <w:noProof/>
          <w:sz w:val="18"/>
          <w:szCs w:val="20"/>
        </w:rPr>
      </w:pPr>
      <w:r w:rsidRPr="004756B5">
        <w:rPr>
          <w:rFonts w:ascii="Calibri" w:hAnsi="Calibri" w:cs="Calibri"/>
          <w:noProof/>
          <w:sz w:val="18"/>
          <w:szCs w:val="20"/>
        </w:rPr>
        <w:t>Źródło: opracowanie własne na podstawie wyników badań ankietowych.</w:t>
      </w:r>
    </w:p>
    <w:p w:rsidR="004717D3" w:rsidRDefault="004717D3" w:rsidP="004E5A9A">
      <w:pPr>
        <w:shd w:val="clear" w:color="auto" w:fill="FFFFFF"/>
        <w:spacing w:before="150" w:after="75"/>
        <w:jc w:val="both"/>
        <w:outlineLvl w:val="3"/>
        <w:rPr>
          <w:rFonts w:ascii="Calibri" w:hAnsi="Calibri" w:cs="Tahoma"/>
          <w:color w:val="333333"/>
          <w:sz w:val="22"/>
          <w:szCs w:val="22"/>
        </w:rPr>
      </w:pPr>
    </w:p>
    <w:p w:rsidR="00500BF4" w:rsidRDefault="005433B6" w:rsidP="004E5A9A">
      <w:pPr>
        <w:shd w:val="clear" w:color="auto" w:fill="FFFFFF"/>
        <w:spacing w:before="150" w:after="75"/>
        <w:jc w:val="both"/>
        <w:outlineLvl w:val="3"/>
        <w:rPr>
          <w:rFonts w:ascii="Calibri" w:hAnsi="Calibri" w:cs="Tahoma"/>
          <w:color w:val="333333"/>
          <w:sz w:val="22"/>
          <w:szCs w:val="22"/>
        </w:rPr>
      </w:pPr>
      <w:r w:rsidRPr="005433B6">
        <w:rPr>
          <w:rFonts w:ascii="Calibri" w:hAnsi="Calibri" w:cs="Tahoma"/>
          <w:sz w:val="22"/>
          <w:szCs w:val="22"/>
        </w:rPr>
      </w:r>
      <w:r w:rsidRPr="005433B6">
        <w:rPr>
          <w:rFonts w:ascii="Calibri" w:hAnsi="Calibri" w:cs="Tahoma"/>
          <w:sz w:val="22"/>
          <w:szCs w:val="22"/>
        </w:rPr>
        <w:pict>
          <v:rect id="_x0000_s1026" style="width:449.8pt;height:116.55pt;rotation:-360;mso-position-horizontal-relative:char;mso-position-vertical-relative:line" o:allowincell="f" fillcolor="#a7bfde" stroked="f">
            <v:fill opacity="13107f"/>
            <v:imagedata embosscolor="shadow add(51)"/>
            <v:shadow on="t" color="#d4cfb3" opacity=".5" offset="19pt,-21pt" offset2="26pt,-30pt"/>
            <v:textbox style="mso-next-textbox:#_x0000_s1026;mso-fit-shape-to-text:t" inset="28.8pt,7.2pt,14.4pt,28.8pt">
              <w:txbxContent>
                <w:p w:rsidR="00D24064" w:rsidRPr="00EC0E96" w:rsidRDefault="00D24064" w:rsidP="00500BF4">
                  <w:pPr>
                    <w:jc w:val="both"/>
                    <w:rPr>
                      <w:rFonts w:ascii="Calibri" w:hAnsi="Calibri"/>
                      <w:i/>
                      <w:iCs/>
                      <w:color w:val="1F497D"/>
                      <w:sz w:val="22"/>
                      <w:szCs w:val="28"/>
                    </w:rPr>
                  </w:pPr>
                  <w:r w:rsidRPr="00EC0E96">
                    <w:rPr>
                      <w:rFonts w:ascii="Calibri" w:hAnsi="Calibri"/>
                      <w:i/>
                      <w:iCs/>
                      <w:color w:val="1F497D"/>
                      <w:sz w:val="22"/>
                      <w:szCs w:val="28"/>
                    </w:rPr>
                    <w:t>KONKLUZJE STRATEGICZNE</w:t>
                  </w:r>
                </w:p>
                <w:p w:rsidR="00D24064" w:rsidRPr="00EC0E96" w:rsidRDefault="00D24064" w:rsidP="00500BF4">
                  <w:pPr>
                    <w:jc w:val="both"/>
                    <w:rPr>
                      <w:rFonts w:ascii="Calibri" w:hAnsi="Calibri"/>
                      <w:i/>
                      <w:iCs/>
                      <w:color w:val="1F497D"/>
                      <w:sz w:val="22"/>
                      <w:szCs w:val="28"/>
                    </w:rPr>
                  </w:pPr>
                  <w:r w:rsidRPr="00500BF4">
                    <w:rPr>
                      <w:rFonts w:ascii="Calibri" w:hAnsi="Calibri"/>
                      <w:i/>
                      <w:iCs/>
                      <w:color w:val="1F497D"/>
                      <w:sz w:val="22"/>
                      <w:szCs w:val="28"/>
                    </w:rPr>
                    <w:t>Głównym celem działania stowarzysze</w:t>
                  </w:r>
                  <w:r>
                    <w:rPr>
                      <w:rFonts w:ascii="Calibri" w:hAnsi="Calibri"/>
                      <w:i/>
                      <w:iCs/>
                      <w:color w:val="1F497D"/>
                      <w:sz w:val="22"/>
                      <w:szCs w:val="28"/>
                    </w:rPr>
                    <w:t>ń Lubuskie Trójmiasto i Aglomeracja Zielonogórska</w:t>
                  </w:r>
                  <w:r w:rsidRPr="00500BF4">
                    <w:rPr>
                      <w:rFonts w:ascii="Calibri" w:hAnsi="Calibri"/>
                      <w:i/>
                      <w:iCs/>
                      <w:color w:val="1F497D"/>
                      <w:sz w:val="22"/>
                      <w:szCs w:val="28"/>
                    </w:rPr>
                    <w:t xml:space="preserve"> </w:t>
                  </w:r>
                  <w:r>
                    <w:rPr>
                      <w:rFonts w:ascii="Calibri" w:hAnsi="Calibri"/>
                      <w:i/>
                      <w:iCs/>
                      <w:color w:val="1F497D"/>
                      <w:sz w:val="22"/>
                      <w:szCs w:val="28"/>
                    </w:rPr>
                    <w:t>jest</w:t>
                  </w:r>
                  <w:r w:rsidRPr="00500BF4">
                    <w:rPr>
                      <w:rFonts w:ascii="Calibri" w:hAnsi="Calibri"/>
                      <w:i/>
                      <w:iCs/>
                      <w:color w:val="1F497D"/>
                      <w:sz w:val="22"/>
                      <w:szCs w:val="28"/>
                    </w:rPr>
                    <w:t xml:space="preserve"> wspieranie idei samorządu terytorialnego oraz obrona wspólnych interesów podmiotów będących członkami Stowarzyszenia</w:t>
                  </w:r>
                  <w:r>
                    <w:rPr>
                      <w:rFonts w:ascii="Calibri" w:hAnsi="Calibri"/>
                      <w:i/>
                      <w:iCs/>
                      <w:color w:val="1F497D"/>
                      <w:sz w:val="22"/>
                      <w:szCs w:val="28"/>
                    </w:rPr>
                    <w:t>.</w:t>
                  </w:r>
                </w:p>
                <w:p w:rsidR="00D24064" w:rsidRPr="00EC0E96" w:rsidRDefault="00D24064" w:rsidP="00500BF4">
                  <w:pPr>
                    <w:jc w:val="both"/>
                    <w:rPr>
                      <w:rFonts w:ascii="Calibri" w:hAnsi="Calibri"/>
                      <w:i/>
                      <w:iCs/>
                      <w:color w:val="1F497D"/>
                      <w:sz w:val="22"/>
                      <w:szCs w:val="28"/>
                    </w:rPr>
                  </w:pPr>
                  <w:r>
                    <w:rPr>
                      <w:rFonts w:ascii="Calibri" w:hAnsi="Calibri"/>
                      <w:i/>
                      <w:iCs/>
                      <w:color w:val="1F497D"/>
                      <w:sz w:val="22"/>
                      <w:szCs w:val="28"/>
                    </w:rPr>
                    <w:t>Lubuskie Trójmiasto nie jest dobrze rozpoznawalne, w szczególności wśród osób z niższym wykształceniem i starszych.</w:t>
                  </w:r>
                </w:p>
              </w:txbxContent>
            </v:textbox>
            <w10:wrap type="none" anchorx="margin" anchory="page"/>
            <w10:anchorlock/>
          </v:rect>
        </w:pict>
      </w:r>
    </w:p>
    <w:p w:rsidR="00500BF4" w:rsidRDefault="00500BF4" w:rsidP="004E5A9A">
      <w:pPr>
        <w:shd w:val="clear" w:color="auto" w:fill="FFFFFF"/>
        <w:spacing w:before="150" w:after="75"/>
        <w:jc w:val="both"/>
        <w:outlineLvl w:val="3"/>
        <w:rPr>
          <w:rFonts w:ascii="Calibri" w:hAnsi="Calibri" w:cs="Tahoma"/>
          <w:color w:val="333333"/>
          <w:sz w:val="22"/>
          <w:szCs w:val="22"/>
        </w:rPr>
      </w:pPr>
    </w:p>
    <w:p w:rsidR="006D4975" w:rsidRPr="006D4975" w:rsidRDefault="006D4975" w:rsidP="006D4975">
      <w:pPr>
        <w:pStyle w:val="Nagwek1"/>
        <w:numPr>
          <w:ilvl w:val="0"/>
          <w:numId w:val="1"/>
        </w:numPr>
        <w:rPr>
          <w:rFonts w:ascii="Calibri" w:hAnsi="Calibri"/>
          <w:color w:val="17365D"/>
          <w:sz w:val="24"/>
        </w:rPr>
      </w:pPr>
      <w:bookmarkStart w:id="107" w:name="_Toc316395277"/>
      <w:r w:rsidRPr="006D4975">
        <w:rPr>
          <w:rFonts w:ascii="Calibri" w:hAnsi="Calibri"/>
          <w:color w:val="17365D"/>
          <w:sz w:val="24"/>
        </w:rPr>
        <w:t>Spis rysunków</w:t>
      </w:r>
      <w:bookmarkEnd w:id="107"/>
    </w:p>
    <w:p w:rsidR="006D4975" w:rsidRPr="006D4975" w:rsidRDefault="005433B6">
      <w:pPr>
        <w:pStyle w:val="Spisilustracji"/>
        <w:tabs>
          <w:tab w:val="right" w:leader="dot" w:pos="9062"/>
        </w:tabs>
        <w:rPr>
          <w:noProof/>
          <w:sz w:val="22"/>
        </w:rPr>
      </w:pPr>
      <w:r w:rsidRPr="006D4975">
        <w:rPr>
          <w:rFonts w:ascii="Calibri" w:hAnsi="Calibri" w:cs="Tahoma"/>
          <w:color w:val="333333"/>
          <w:sz w:val="20"/>
          <w:szCs w:val="22"/>
        </w:rPr>
        <w:fldChar w:fldCharType="begin"/>
      </w:r>
      <w:r w:rsidR="006D4975" w:rsidRPr="006D4975">
        <w:rPr>
          <w:rFonts w:ascii="Calibri" w:hAnsi="Calibri" w:cs="Tahoma"/>
          <w:color w:val="333333"/>
          <w:sz w:val="20"/>
          <w:szCs w:val="22"/>
        </w:rPr>
        <w:instrText xml:space="preserve"> TOC \h \z \c "Rysunek" </w:instrText>
      </w:r>
      <w:r w:rsidRPr="006D4975">
        <w:rPr>
          <w:rFonts w:ascii="Calibri" w:hAnsi="Calibri" w:cs="Tahoma"/>
          <w:color w:val="333333"/>
          <w:sz w:val="20"/>
          <w:szCs w:val="22"/>
        </w:rPr>
        <w:fldChar w:fldCharType="separate"/>
      </w:r>
      <w:hyperlink w:anchor="_Toc315790452" w:history="1">
        <w:r w:rsidR="006D4975" w:rsidRPr="006D4975">
          <w:rPr>
            <w:rStyle w:val="Hipercze"/>
            <w:rFonts w:ascii="Calibri" w:hAnsi="Calibri" w:cs="Tahoma"/>
            <w:noProof/>
            <w:sz w:val="22"/>
          </w:rPr>
          <w:t>Rysunek 1. Obszar Natura 2000.</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_Toc315790452 \h </w:instrText>
        </w:r>
        <w:r w:rsidRPr="006D4975">
          <w:rPr>
            <w:noProof/>
            <w:webHidden/>
            <w:sz w:val="22"/>
          </w:rPr>
        </w:r>
        <w:r w:rsidRPr="006D4975">
          <w:rPr>
            <w:noProof/>
            <w:webHidden/>
            <w:sz w:val="22"/>
          </w:rPr>
          <w:fldChar w:fldCharType="separate"/>
        </w:r>
        <w:r w:rsidR="009E4FA2">
          <w:rPr>
            <w:noProof/>
            <w:webHidden/>
            <w:sz w:val="22"/>
          </w:rPr>
          <w:t>34</w:t>
        </w:r>
        <w:r w:rsidRPr="006D4975">
          <w:rPr>
            <w:noProof/>
            <w:webHidden/>
            <w:sz w:val="22"/>
          </w:rPr>
          <w:fldChar w:fldCharType="end"/>
        </w:r>
      </w:hyperlink>
    </w:p>
    <w:p w:rsidR="006D4975" w:rsidRDefault="005433B6" w:rsidP="004E5A9A">
      <w:pPr>
        <w:shd w:val="clear" w:color="auto" w:fill="FFFFFF"/>
        <w:spacing w:before="150" w:after="75"/>
        <w:jc w:val="both"/>
        <w:outlineLvl w:val="3"/>
        <w:rPr>
          <w:rFonts w:ascii="Calibri" w:hAnsi="Calibri" w:cs="Tahoma"/>
          <w:color w:val="333333"/>
          <w:sz w:val="22"/>
          <w:szCs w:val="22"/>
        </w:rPr>
      </w:pPr>
      <w:r w:rsidRPr="006D4975">
        <w:rPr>
          <w:rFonts w:ascii="Calibri" w:hAnsi="Calibri" w:cs="Tahoma"/>
          <w:color w:val="333333"/>
          <w:sz w:val="20"/>
          <w:szCs w:val="22"/>
        </w:rPr>
        <w:fldChar w:fldCharType="end"/>
      </w:r>
    </w:p>
    <w:p w:rsidR="006D4975" w:rsidRPr="006D4975" w:rsidRDefault="006D4975" w:rsidP="006D4975">
      <w:pPr>
        <w:pStyle w:val="Nagwek1"/>
        <w:numPr>
          <w:ilvl w:val="0"/>
          <w:numId w:val="1"/>
        </w:numPr>
        <w:rPr>
          <w:rFonts w:ascii="Calibri" w:hAnsi="Calibri"/>
          <w:color w:val="17365D"/>
          <w:sz w:val="24"/>
        </w:rPr>
      </w:pPr>
      <w:bookmarkStart w:id="108" w:name="_Toc316395278"/>
      <w:r w:rsidRPr="006D4975">
        <w:rPr>
          <w:rFonts w:ascii="Calibri" w:hAnsi="Calibri"/>
          <w:color w:val="17365D"/>
          <w:sz w:val="24"/>
        </w:rPr>
        <w:t>Spis wykresów</w:t>
      </w:r>
      <w:bookmarkEnd w:id="108"/>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r w:rsidRPr="006D4975">
        <w:rPr>
          <w:rFonts w:ascii="Calibri" w:hAnsi="Calibri" w:cs="Tahoma"/>
          <w:color w:val="333333"/>
          <w:sz w:val="20"/>
          <w:szCs w:val="22"/>
        </w:rPr>
        <w:fldChar w:fldCharType="begin"/>
      </w:r>
      <w:r w:rsidR="006D4975" w:rsidRPr="006D4975">
        <w:rPr>
          <w:rFonts w:ascii="Calibri" w:hAnsi="Calibri" w:cs="Tahoma"/>
          <w:color w:val="333333"/>
          <w:sz w:val="20"/>
          <w:szCs w:val="22"/>
        </w:rPr>
        <w:instrText xml:space="preserve"> TOC \h \z \c "Wykres" </w:instrText>
      </w:r>
      <w:r w:rsidRPr="006D4975">
        <w:rPr>
          <w:rFonts w:ascii="Calibri" w:hAnsi="Calibri" w:cs="Tahoma"/>
          <w:color w:val="333333"/>
          <w:sz w:val="20"/>
          <w:szCs w:val="22"/>
        </w:rPr>
        <w:fldChar w:fldCharType="separate"/>
      </w:r>
      <w:hyperlink w:anchor="_Toc315790470" w:history="1">
        <w:r w:rsidR="006D4975" w:rsidRPr="006D4975">
          <w:rPr>
            <w:rStyle w:val="Hipercze"/>
            <w:rFonts w:ascii="Calibri" w:hAnsi="Calibri" w:cs="Tahoma"/>
            <w:noProof/>
            <w:sz w:val="22"/>
          </w:rPr>
          <w:t>Wykres 1.</w:t>
        </w:r>
        <w:r w:rsidR="006D4975" w:rsidRPr="006D4975">
          <w:rPr>
            <w:rStyle w:val="Hipercze"/>
            <w:noProof/>
            <w:sz w:val="22"/>
          </w:rPr>
          <w:t xml:space="preserve"> </w:t>
        </w:r>
        <w:r w:rsidR="006D4975" w:rsidRPr="006D4975">
          <w:rPr>
            <w:rStyle w:val="Hipercze"/>
            <w:rFonts w:ascii="Calibri" w:hAnsi="Calibri" w:cs="Tahoma"/>
            <w:noProof/>
            <w:sz w:val="22"/>
          </w:rPr>
          <w:t>Liczba ludności miasta Nowa Sól w latach 1995-2009.</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_Toc315790470 \h </w:instrText>
        </w:r>
        <w:r w:rsidRPr="006D4975">
          <w:rPr>
            <w:noProof/>
            <w:webHidden/>
            <w:sz w:val="22"/>
          </w:rPr>
        </w:r>
        <w:r w:rsidRPr="006D4975">
          <w:rPr>
            <w:noProof/>
            <w:webHidden/>
            <w:sz w:val="22"/>
          </w:rPr>
          <w:fldChar w:fldCharType="separate"/>
        </w:r>
        <w:r w:rsidR="009E4FA2">
          <w:rPr>
            <w:noProof/>
            <w:webHidden/>
            <w:sz w:val="22"/>
          </w:rPr>
          <w:t>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1" w:history="1">
        <w:r w:rsidR="006D4975" w:rsidRPr="006D4975">
          <w:rPr>
            <w:rStyle w:val="Hipercze"/>
            <w:rFonts w:ascii="Calibri" w:hAnsi="Calibri"/>
            <w:noProof/>
            <w:sz w:val="22"/>
          </w:rPr>
          <w:t>Wykres 2. Struktura ludności w Nowej Soli w 2009 r.</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_Toc315790471 \h </w:instrText>
        </w:r>
        <w:r w:rsidRPr="006D4975">
          <w:rPr>
            <w:noProof/>
            <w:webHidden/>
            <w:sz w:val="22"/>
          </w:rPr>
        </w:r>
        <w:r w:rsidRPr="006D4975">
          <w:rPr>
            <w:noProof/>
            <w:webHidden/>
            <w:sz w:val="22"/>
          </w:rPr>
          <w:fldChar w:fldCharType="separate"/>
        </w:r>
        <w:r w:rsidR="009E4FA2">
          <w:rPr>
            <w:noProof/>
            <w:webHidden/>
            <w:sz w:val="22"/>
          </w:rPr>
          <w:t>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2" w:history="1">
        <w:r w:rsidR="006D4975" w:rsidRPr="006D4975">
          <w:rPr>
            <w:rStyle w:val="Hipercze"/>
            <w:rFonts w:ascii="Calibri" w:hAnsi="Calibri"/>
            <w:noProof/>
            <w:sz w:val="22"/>
          </w:rPr>
          <w:t>Wykres 3. Ruch naturalny w mieście Nowa Sól w latach 2003-2009.</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_Toc315790472 \h </w:instrText>
        </w:r>
        <w:r w:rsidRPr="006D4975">
          <w:rPr>
            <w:noProof/>
            <w:webHidden/>
            <w:sz w:val="22"/>
          </w:rPr>
        </w:r>
        <w:r w:rsidRPr="006D4975">
          <w:rPr>
            <w:noProof/>
            <w:webHidden/>
            <w:sz w:val="22"/>
          </w:rPr>
          <w:fldChar w:fldCharType="separate"/>
        </w:r>
        <w:r w:rsidR="009E4FA2">
          <w:rPr>
            <w:noProof/>
            <w:webHidden/>
            <w:sz w:val="22"/>
          </w:rPr>
          <w:t>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3" w:history="1">
        <w:r w:rsidR="006D4975" w:rsidRPr="006D4975">
          <w:rPr>
            <w:rStyle w:val="Hipercze"/>
            <w:rFonts w:ascii="Calibri" w:hAnsi="Calibri"/>
            <w:noProof/>
            <w:sz w:val="22"/>
          </w:rPr>
          <w:t>Wykres 4. Struktura ludności Nowej Soli wg ekonomicznych grup wieku w 2009 r.</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_Toc315790473 \h </w:instrText>
        </w:r>
        <w:r w:rsidRPr="006D4975">
          <w:rPr>
            <w:noProof/>
            <w:webHidden/>
            <w:sz w:val="22"/>
          </w:rPr>
        </w:r>
        <w:r w:rsidRPr="006D4975">
          <w:rPr>
            <w:noProof/>
            <w:webHidden/>
            <w:sz w:val="22"/>
          </w:rPr>
          <w:fldChar w:fldCharType="separate"/>
        </w:r>
        <w:r w:rsidR="009E4FA2">
          <w:rPr>
            <w:noProof/>
            <w:webHidden/>
            <w:sz w:val="22"/>
          </w:rPr>
          <w:t>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4" w:history="1">
        <w:r w:rsidR="006D4975" w:rsidRPr="006D4975">
          <w:rPr>
            <w:rStyle w:val="Hipercze"/>
            <w:rFonts w:ascii="Calibri" w:hAnsi="Calibri"/>
            <w:noProof/>
            <w:sz w:val="22"/>
          </w:rPr>
          <w:t>Wykres 5. Wskaźnik obciążenia demograficznego w 2009 r. w Nowej Soli na tle Polski, województwa oraz miast o podobnej liczbie ludności.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_Toc315790474 \h </w:instrText>
        </w:r>
        <w:r w:rsidRPr="006D4975">
          <w:rPr>
            <w:noProof/>
            <w:webHidden/>
            <w:sz w:val="22"/>
          </w:rPr>
        </w:r>
        <w:r w:rsidRPr="006D4975">
          <w:rPr>
            <w:noProof/>
            <w:webHidden/>
            <w:sz w:val="22"/>
          </w:rPr>
          <w:fldChar w:fldCharType="separate"/>
        </w:r>
        <w:r w:rsidR="009E4FA2">
          <w:rPr>
            <w:noProof/>
            <w:webHidden/>
            <w:sz w:val="22"/>
          </w:rPr>
          <w:t>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5" w:history="1">
        <w:r w:rsidR="006D4975" w:rsidRPr="006D4975">
          <w:rPr>
            <w:rStyle w:val="Hipercze"/>
            <w:rFonts w:ascii="Calibri" w:hAnsi="Calibri"/>
            <w:noProof/>
            <w:sz w:val="22"/>
          </w:rPr>
          <w:t>Wykres 6. Pracujący w gospodarce narodowej wg sekcji PKD w Nowej Soli w 2009  roku.</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_Toc315790475 \h </w:instrText>
        </w:r>
        <w:r w:rsidRPr="006D4975">
          <w:rPr>
            <w:noProof/>
            <w:webHidden/>
            <w:sz w:val="22"/>
          </w:rPr>
        </w:r>
        <w:r w:rsidRPr="006D4975">
          <w:rPr>
            <w:noProof/>
            <w:webHidden/>
            <w:sz w:val="22"/>
          </w:rPr>
          <w:fldChar w:fldCharType="separate"/>
        </w:r>
        <w:r w:rsidR="009E4FA2">
          <w:rPr>
            <w:noProof/>
            <w:webHidden/>
            <w:sz w:val="22"/>
          </w:rPr>
          <w:t>6</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6" w:history="1">
        <w:r w:rsidR="006D4975" w:rsidRPr="006D4975">
          <w:rPr>
            <w:rStyle w:val="Hipercze"/>
            <w:rFonts w:ascii="Calibri" w:hAnsi="Calibri"/>
            <w:noProof/>
            <w:sz w:val="22"/>
          </w:rPr>
          <w:t>Wykres 7.</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Nowej Soli lub w najbliższej okolicy łatwo mogą znaleźć lub zmienić pracę.</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_Toc315790476 \h </w:instrText>
        </w:r>
        <w:r w:rsidRPr="006D4975">
          <w:rPr>
            <w:noProof/>
            <w:webHidden/>
            <w:sz w:val="22"/>
          </w:rPr>
        </w:r>
        <w:r w:rsidRPr="006D4975">
          <w:rPr>
            <w:noProof/>
            <w:webHidden/>
            <w:sz w:val="22"/>
          </w:rPr>
          <w:fldChar w:fldCharType="separate"/>
        </w:r>
        <w:r w:rsidR="009E4FA2">
          <w:rPr>
            <w:noProof/>
            <w:webHidden/>
            <w:sz w:val="22"/>
          </w:rPr>
          <w:t>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7" w:history="1">
        <w:r w:rsidR="006D4975" w:rsidRPr="006D4975">
          <w:rPr>
            <w:rStyle w:val="Hipercze"/>
            <w:rFonts w:ascii="Calibri" w:hAnsi="Calibri"/>
            <w:noProof/>
            <w:sz w:val="22"/>
          </w:rPr>
          <w:t>Wykres 8. Średnia oceny, czy łatwość lub trudność w znalezieniu pracy w mieście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_Toc315790477 \h </w:instrText>
        </w:r>
        <w:r w:rsidRPr="006D4975">
          <w:rPr>
            <w:noProof/>
            <w:webHidden/>
            <w:sz w:val="22"/>
          </w:rPr>
        </w:r>
        <w:r w:rsidRPr="006D4975">
          <w:rPr>
            <w:noProof/>
            <w:webHidden/>
            <w:sz w:val="22"/>
          </w:rPr>
          <w:fldChar w:fldCharType="separate"/>
        </w:r>
        <w:r w:rsidR="009E4FA2">
          <w:rPr>
            <w:noProof/>
            <w:webHidden/>
            <w:sz w:val="22"/>
          </w:rPr>
          <w:t>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8" w:history="1">
        <w:r w:rsidR="006D4975" w:rsidRPr="006D4975">
          <w:rPr>
            <w:rStyle w:val="Hipercze"/>
            <w:rFonts w:ascii="Calibri" w:hAnsi="Calibri"/>
            <w:noProof/>
            <w:sz w:val="22"/>
          </w:rPr>
          <w:t>Wykres 9. Liczba osób bezrobotnych w Nowej Soli w latach 2003-2010.</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_Toc315790478 \h </w:instrText>
        </w:r>
        <w:r w:rsidRPr="006D4975">
          <w:rPr>
            <w:noProof/>
            <w:webHidden/>
            <w:sz w:val="22"/>
          </w:rPr>
        </w:r>
        <w:r w:rsidRPr="006D4975">
          <w:rPr>
            <w:noProof/>
            <w:webHidden/>
            <w:sz w:val="22"/>
          </w:rPr>
          <w:fldChar w:fldCharType="separate"/>
        </w:r>
        <w:r w:rsidR="009E4FA2">
          <w:rPr>
            <w:noProof/>
            <w:webHidden/>
            <w:sz w:val="22"/>
          </w:rPr>
          <w:t>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79" w:history="1">
        <w:r w:rsidR="006D4975" w:rsidRPr="006D4975">
          <w:rPr>
            <w:rStyle w:val="Hipercze"/>
            <w:rFonts w:ascii="Calibri" w:hAnsi="Calibri"/>
            <w:noProof/>
            <w:sz w:val="22"/>
          </w:rPr>
          <w:t>Wykres 10. Udział bezrobotnych zarejestrowanych w liczbie ludności w wieku produkcyjnym w 2009 r. - Nowa Sól na tle kraju, województwa, powiatu oraz wybranych miast o podobnej wielkości .</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_Toc315790479 \h </w:instrText>
        </w:r>
        <w:r w:rsidRPr="006D4975">
          <w:rPr>
            <w:noProof/>
            <w:webHidden/>
            <w:sz w:val="22"/>
          </w:rPr>
        </w:r>
        <w:r w:rsidRPr="006D4975">
          <w:rPr>
            <w:noProof/>
            <w:webHidden/>
            <w:sz w:val="22"/>
          </w:rPr>
          <w:fldChar w:fldCharType="separate"/>
        </w:r>
        <w:r w:rsidR="009E4FA2">
          <w:rPr>
            <w:noProof/>
            <w:webHidden/>
            <w:sz w:val="22"/>
          </w:rPr>
          <w:t>10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0" w:history="1">
        <w:r w:rsidR="006D4975" w:rsidRPr="006D4975">
          <w:rPr>
            <w:rStyle w:val="Hipercze"/>
            <w:rFonts w:ascii="Calibri" w:hAnsi="Calibri" w:cs="Tahoma"/>
            <w:noProof/>
            <w:sz w:val="22"/>
          </w:rPr>
          <w:t xml:space="preserve">Wykres 11. </w:t>
        </w:r>
        <w:r w:rsidR="006D4975" w:rsidRPr="006D4975">
          <w:rPr>
            <w:rStyle w:val="Hipercze"/>
            <w:rFonts w:ascii="Calibri" w:hAnsi="Calibri" w:cs="Tahoma"/>
            <w:bCs/>
            <w:noProof/>
            <w:sz w:val="22"/>
          </w:rPr>
          <w:t>Uczniowie w szkołach dla dzieci i młodzieży w Nowej Soli w latach 2007-2009.</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_Toc315790480 \h </w:instrText>
        </w:r>
        <w:r w:rsidRPr="006D4975">
          <w:rPr>
            <w:noProof/>
            <w:webHidden/>
            <w:sz w:val="22"/>
          </w:rPr>
        </w:r>
        <w:r w:rsidRPr="006D4975">
          <w:rPr>
            <w:noProof/>
            <w:webHidden/>
            <w:sz w:val="22"/>
          </w:rPr>
          <w:fldChar w:fldCharType="separate"/>
        </w:r>
        <w:r w:rsidR="009E4FA2">
          <w:rPr>
            <w:noProof/>
            <w:webHidden/>
            <w:sz w:val="22"/>
          </w:rPr>
          <w:t>13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1" w:history="1">
        <w:r w:rsidR="006D4975" w:rsidRPr="006D4975">
          <w:rPr>
            <w:rStyle w:val="Hipercze"/>
            <w:rFonts w:ascii="Calibri" w:hAnsi="Calibri" w:cs="Tahoma"/>
            <w:noProof/>
            <w:sz w:val="22"/>
          </w:rPr>
          <w:t xml:space="preserve">Wykres 12. </w:t>
        </w:r>
        <w:r w:rsidR="006D4975" w:rsidRPr="006D4975">
          <w:rPr>
            <w:rStyle w:val="Hipercze"/>
            <w:rFonts w:ascii="Calibri" w:hAnsi="Calibri" w:cs="Tahoma"/>
            <w:bCs/>
            <w:noProof/>
            <w:sz w:val="22"/>
          </w:rPr>
          <w:t>Średnie wyniki egzaminów gimnazjalnych w Nowej Soli na tle średnich wyników dla miast o podobnej liczbie mieszkańców, województwa i kraju w 2010 roku</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_Toc315790481 \h </w:instrText>
        </w:r>
        <w:r w:rsidRPr="006D4975">
          <w:rPr>
            <w:noProof/>
            <w:webHidden/>
            <w:sz w:val="22"/>
          </w:rPr>
        </w:r>
        <w:r w:rsidRPr="006D4975">
          <w:rPr>
            <w:noProof/>
            <w:webHidden/>
            <w:sz w:val="22"/>
          </w:rPr>
          <w:fldChar w:fldCharType="separate"/>
        </w:r>
        <w:r w:rsidR="009E4FA2">
          <w:rPr>
            <w:noProof/>
            <w:webHidden/>
            <w:sz w:val="22"/>
          </w:rPr>
          <w:t>13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2" w:history="1">
        <w:r w:rsidR="006D4975" w:rsidRPr="006D4975">
          <w:rPr>
            <w:rStyle w:val="Hipercze"/>
            <w:rFonts w:ascii="Calibri" w:hAnsi="Calibri" w:cs="Tahoma"/>
            <w:noProof/>
            <w:sz w:val="22"/>
          </w:rPr>
          <w:t xml:space="preserve">Wykres 13. </w:t>
        </w:r>
        <w:r w:rsidR="006D4975" w:rsidRPr="006D4975">
          <w:rPr>
            <w:rStyle w:val="Hipercze"/>
            <w:rFonts w:ascii="Calibri" w:hAnsi="Calibri" w:cs="Tahoma"/>
            <w:bCs/>
            <w:noProof/>
            <w:sz w:val="22"/>
          </w:rPr>
          <w:t>Średnie wyniki sprawdzianu w klasach VI w Nowej Soli na tle średnich wyników dla miast o podobnej liczbie mieszkańców, województwa i kraju w 2010 roku.</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_Toc315790482 \h </w:instrText>
        </w:r>
        <w:r w:rsidRPr="006D4975">
          <w:rPr>
            <w:noProof/>
            <w:webHidden/>
            <w:sz w:val="22"/>
          </w:rPr>
        </w:r>
        <w:r w:rsidRPr="006D4975">
          <w:rPr>
            <w:noProof/>
            <w:webHidden/>
            <w:sz w:val="22"/>
          </w:rPr>
          <w:fldChar w:fldCharType="separate"/>
        </w:r>
        <w:r w:rsidR="009E4FA2">
          <w:rPr>
            <w:noProof/>
            <w:webHidden/>
            <w:sz w:val="22"/>
          </w:rPr>
          <w:t>14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3" w:history="1">
        <w:r w:rsidR="006D4975" w:rsidRPr="006D4975">
          <w:rPr>
            <w:rStyle w:val="Hipercze"/>
            <w:rFonts w:ascii="Calibri" w:hAnsi="Calibri"/>
            <w:noProof/>
            <w:sz w:val="22"/>
          </w:rPr>
          <w:t>Wykres 14.</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szkoły prowadzone przez gminę (podstawówki, gimnazja) dobrze przygotowują do zawodu lub do dalszej edukacji.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_Toc315790483 \h </w:instrText>
        </w:r>
        <w:r w:rsidRPr="006D4975">
          <w:rPr>
            <w:noProof/>
            <w:webHidden/>
            <w:sz w:val="22"/>
          </w:rPr>
        </w:r>
        <w:r w:rsidRPr="006D4975">
          <w:rPr>
            <w:noProof/>
            <w:webHidden/>
            <w:sz w:val="22"/>
          </w:rPr>
          <w:fldChar w:fldCharType="separate"/>
        </w:r>
        <w:r w:rsidR="009E4FA2">
          <w:rPr>
            <w:noProof/>
            <w:webHidden/>
            <w:sz w:val="22"/>
          </w:rPr>
          <w:t>15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4" w:history="1">
        <w:r w:rsidR="006D4975" w:rsidRPr="006D4975">
          <w:rPr>
            <w:rStyle w:val="Hipercze"/>
            <w:rFonts w:ascii="Calibri" w:hAnsi="Calibri"/>
            <w:noProof/>
            <w:sz w:val="22"/>
          </w:rPr>
          <w:t>Wykres 15. Średnia oceny, czy poziom nauczania w podstawówkach, gimnazjach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_Toc315790484 \h </w:instrText>
        </w:r>
        <w:r w:rsidRPr="006D4975">
          <w:rPr>
            <w:noProof/>
            <w:webHidden/>
            <w:sz w:val="22"/>
          </w:rPr>
        </w:r>
        <w:r w:rsidRPr="006D4975">
          <w:rPr>
            <w:noProof/>
            <w:webHidden/>
            <w:sz w:val="22"/>
          </w:rPr>
          <w:fldChar w:fldCharType="separate"/>
        </w:r>
        <w:r w:rsidR="009E4FA2">
          <w:rPr>
            <w:noProof/>
            <w:webHidden/>
            <w:sz w:val="22"/>
          </w:rPr>
          <w:t>16</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5" w:history="1">
        <w:r w:rsidR="006D4975" w:rsidRPr="006D4975">
          <w:rPr>
            <w:rStyle w:val="Hipercze"/>
            <w:rFonts w:ascii="Calibri" w:hAnsi="Calibri"/>
            <w:noProof/>
            <w:sz w:val="22"/>
          </w:rPr>
          <w:t>Wykres 16.</w:t>
        </w:r>
        <w:r w:rsidR="006D4975" w:rsidRPr="006D4975">
          <w:rPr>
            <w:rStyle w:val="Hipercze"/>
            <w:noProof/>
            <w:sz w:val="22"/>
          </w:rPr>
          <w:t xml:space="preserve"> </w:t>
        </w:r>
        <w:r w:rsidR="006D4975" w:rsidRPr="006D4975">
          <w:rPr>
            <w:rStyle w:val="Hipercze"/>
            <w:rFonts w:ascii="Calibri" w:hAnsi="Calibri"/>
            <w:noProof/>
            <w:sz w:val="22"/>
          </w:rPr>
          <w:t>Rozkład odpowiedzi na pytanie, czy szkoły prowadzone przez gminę są w dobrym stanie i są dobrze wyposażone.</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_Toc315790485 \h </w:instrText>
        </w:r>
        <w:r w:rsidRPr="006D4975">
          <w:rPr>
            <w:noProof/>
            <w:webHidden/>
            <w:sz w:val="22"/>
          </w:rPr>
        </w:r>
        <w:r w:rsidRPr="006D4975">
          <w:rPr>
            <w:noProof/>
            <w:webHidden/>
            <w:sz w:val="22"/>
          </w:rPr>
          <w:fldChar w:fldCharType="separate"/>
        </w:r>
        <w:r w:rsidR="009E4FA2">
          <w:rPr>
            <w:noProof/>
            <w:webHidden/>
            <w:sz w:val="22"/>
          </w:rPr>
          <w:t>16</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6" w:history="1">
        <w:r w:rsidR="006D4975" w:rsidRPr="006D4975">
          <w:rPr>
            <w:rStyle w:val="Hipercze"/>
            <w:rFonts w:ascii="Calibri" w:hAnsi="Calibri"/>
            <w:noProof/>
            <w:sz w:val="22"/>
          </w:rPr>
          <w:t>Wykres 17.</w:t>
        </w:r>
        <w:r w:rsidR="006D4975" w:rsidRPr="006D4975">
          <w:rPr>
            <w:rStyle w:val="Hipercze"/>
            <w:noProof/>
            <w:sz w:val="22"/>
          </w:rPr>
          <w:t xml:space="preserve"> </w:t>
        </w:r>
        <w:r w:rsidR="006D4975" w:rsidRPr="006D4975">
          <w:rPr>
            <w:rStyle w:val="Hipercze"/>
            <w:rFonts w:ascii="Calibri" w:hAnsi="Calibri"/>
            <w:noProof/>
            <w:sz w:val="22"/>
          </w:rPr>
          <w:t>Średnia oceny, czy stan techniczny i wyposażenie szkół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_Toc315790486 \h </w:instrText>
        </w:r>
        <w:r w:rsidRPr="006D4975">
          <w:rPr>
            <w:noProof/>
            <w:webHidden/>
            <w:sz w:val="22"/>
          </w:rPr>
        </w:r>
        <w:r w:rsidRPr="006D4975">
          <w:rPr>
            <w:noProof/>
            <w:webHidden/>
            <w:sz w:val="22"/>
          </w:rPr>
          <w:fldChar w:fldCharType="separate"/>
        </w:r>
        <w:r w:rsidR="009E4FA2">
          <w:rPr>
            <w:noProof/>
            <w:webHidden/>
            <w:sz w:val="22"/>
          </w:rPr>
          <w:t>17</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7" w:history="1">
        <w:r w:rsidR="006D4975" w:rsidRPr="006D4975">
          <w:rPr>
            <w:rStyle w:val="Hipercze"/>
            <w:rFonts w:ascii="Calibri" w:hAnsi="Calibri"/>
            <w:noProof/>
            <w:sz w:val="22"/>
          </w:rPr>
          <w:t>Wykres 18.</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miasto jest „przyjazne” dla rodzin z małymi dziećmi, tzn. jest tu wiele placów zabaw, wystarczająco dużo żłobków lub przedszkoli.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_Toc315790487 \h </w:instrText>
        </w:r>
        <w:r w:rsidRPr="006D4975">
          <w:rPr>
            <w:noProof/>
            <w:webHidden/>
            <w:sz w:val="22"/>
          </w:rPr>
        </w:r>
        <w:r w:rsidRPr="006D4975">
          <w:rPr>
            <w:noProof/>
            <w:webHidden/>
            <w:sz w:val="22"/>
          </w:rPr>
          <w:fldChar w:fldCharType="separate"/>
        </w:r>
        <w:r w:rsidR="009E4FA2">
          <w:rPr>
            <w:noProof/>
            <w:webHidden/>
            <w:sz w:val="22"/>
          </w:rPr>
          <w:t>17</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8" w:history="1">
        <w:r w:rsidR="006D4975" w:rsidRPr="006D4975">
          <w:rPr>
            <w:rStyle w:val="Hipercze"/>
            <w:rFonts w:ascii="Calibri" w:hAnsi="Calibri"/>
            <w:noProof/>
            <w:sz w:val="22"/>
          </w:rPr>
          <w:t>Wykres 19.</w:t>
        </w:r>
        <w:r w:rsidR="006D4975" w:rsidRPr="006D4975">
          <w:rPr>
            <w:rStyle w:val="Hipercze"/>
            <w:noProof/>
            <w:sz w:val="22"/>
          </w:rPr>
          <w:t xml:space="preserve"> </w:t>
        </w:r>
        <w:r w:rsidR="006D4975" w:rsidRPr="006D4975">
          <w:rPr>
            <w:rStyle w:val="Hipercze"/>
            <w:rFonts w:ascii="Calibri" w:hAnsi="Calibri"/>
            <w:noProof/>
            <w:sz w:val="22"/>
          </w:rPr>
          <w:t>Średnia oceny, czy to, że miasto jest przyjazne dla rodzin z małymi dziećmi,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_Toc315790488 \h </w:instrText>
        </w:r>
        <w:r w:rsidRPr="006D4975">
          <w:rPr>
            <w:noProof/>
            <w:webHidden/>
            <w:sz w:val="22"/>
          </w:rPr>
        </w:r>
        <w:r w:rsidRPr="006D4975">
          <w:rPr>
            <w:noProof/>
            <w:webHidden/>
            <w:sz w:val="22"/>
          </w:rPr>
          <w:fldChar w:fldCharType="separate"/>
        </w:r>
        <w:r w:rsidR="009E4FA2">
          <w:rPr>
            <w:noProof/>
            <w:webHidden/>
            <w:sz w:val="22"/>
          </w:rPr>
          <w:t>18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89" w:history="1">
        <w:r w:rsidR="006D4975" w:rsidRPr="006D4975">
          <w:rPr>
            <w:rStyle w:val="Hipercze"/>
            <w:rFonts w:ascii="Calibri" w:hAnsi="Calibri"/>
            <w:noProof/>
            <w:sz w:val="22"/>
          </w:rPr>
          <w:t>Wykres 20.</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lub w stosunkowo bliskiej okolicy absolwenci gimnazjów mogą znaleźć interesującą pod względem profilu nauczania szkołę zawodową lub średnią.</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_Toc315790489 \h </w:instrText>
        </w:r>
        <w:r w:rsidRPr="006D4975">
          <w:rPr>
            <w:noProof/>
            <w:webHidden/>
            <w:sz w:val="22"/>
          </w:rPr>
        </w:r>
        <w:r w:rsidRPr="006D4975">
          <w:rPr>
            <w:noProof/>
            <w:webHidden/>
            <w:sz w:val="22"/>
          </w:rPr>
          <w:fldChar w:fldCharType="separate"/>
        </w:r>
        <w:r w:rsidR="009E4FA2">
          <w:rPr>
            <w:noProof/>
            <w:webHidden/>
            <w:sz w:val="22"/>
          </w:rPr>
          <w:t>18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0" w:history="1">
        <w:r w:rsidR="006D4975" w:rsidRPr="006D4975">
          <w:rPr>
            <w:rStyle w:val="Hipercze"/>
            <w:rFonts w:ascii="Calibri" w:hAnsi="Calibri"/>
            <w:noProof/>
            <w:sz w:val="22"/>
          </w:rPr>
          <w:t>Wykres 21.</w:t>
        </w:r>
        <w:r w:rsidR="006D4975" w:rsidRPr="006D4975">
          <w:rPr>
            <w:rStyle w:val="Hipercze"/>
            <w:noProof/>
            <w:sz w:val="22"/>
          </w:rPr>
          <w:t xml:space="preserve"> </w:t>
        </w:r>
        <w:r w:rsidR="006D4975" w:rsidRPr="006D4975">
          <w:rPr>
            <w:rStyle w:val="Hipercze"/>
            <w:rFonts w:ascii="Calibri" w:hAnsi="Calibri"/>
            <w:noProof/>
            <w:sz w:val="22"/>
          </w:rPr>
          <w:t>Średnia oceny, czy oferta edukacyjna dla absolwentów gimnazjów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_Toc315790490 \h </w:instrText>
        </w:r>
        <w:r w:rsidRPr="006D4975">
          <w:rPr>
            <w:noProof/>
            <w:webHidden/>
            <w:sz w:val="22"/>
          </w:rPr>
        </w:r>
        <w:r w:rsidRPr="006D4975">
          <w:rPr>
            <w:noProof/>
            <w:webHidden/>
            <w:sz w:val="22"/>
          </w:rPr>
          <w:fldChar w:fldCharType="separate"/>
        </w:r>
        <w:r w:rsidR="009E4FA2">
          <w:rPr>
            <w:noProof/>
            <w:webHidden/>
            <w:sz w:val="22"/>
          </w:rPr>
          <w:t>19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1" w:history="1">
        <w:r w:rsidR="006D4975" w:rsidRPr="006D4975">
          <w:rPr>
            <w:rStyle w:val="Hipercze"/>
            <w:rFonts w:ascii="Calibri" w:hAnsi="Calibri"/>
            <w:noProof/>
            <w:sz w:val="22"/>
          </w:rPr>
          <w:t>Wykres 22.</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lub w stosunkowo bliskiej okolicy absolwenci szkół średnich mogą zaleźć interesującą pod względem profilu nauczania szkołę pomaturalną, policealną lub wyższą.</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_Toc315790491 \h </w:instrText>
        </w:r>
        <w:r w:rsidRPr="006D4975">
          <w:rPr>
            <w:noProof/>
            <w:webHidden/>
            <w:sz w:val="22"/>
          </w:rPr>
        </w:r>
        <w:r w:rsidRPr="006D4975">
          <w:rPr>
            <w:noProof/>
            <w:webHidden/>
            <w:sz w:val="22"/>
          </w:rPr>
          <w:fldChar w:fldCharType="separate"/>
        </w:r>
        <w:r w:rsidR="009E4FA2">
          <w:rPr>
            <w:noProof/>
            <w:webHidden/>
            <w:sz w:val="22"/>
          </w:rPr>
          <w:t>21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2" w:history="1">
        <w:r w:rsidR="006D4975" w:rsidRPr="006D4975">
          <w:rPr>
            <w:rStyle w:val="Hipercze"/>
            <w:rFonts w:ascii="Calibri" w:hAnsi="Calibri"/>
            <w:noProof/>
            <w:sz w:val="22"/>
          </w:rPr>
          <w:t>Wykres 23.</w:t>
        </w:r>
        <w:r w:rsidR="006D4975" w:rsidRPr="006D4975">
          <w:rPr>
            <w:rStyle w:val="Hipercze"/>
            <w:noProof/>
            <w:sz w:val="22"/>
          </w:rPr>
          <w:t xml:space="preserve"> </w:t>
        </w:r>
        <w:r w:rsidR="006D4975" w:rsidRPr="006D4975">
          <w:rPr>
            <w:rStyle w:val="Hipercze"/>
            <w:rFonts w:ascii="Calibri" w:hAnsi="Calibri"/>
            <w:noProof/>
            <w:sz w:val="22"/>
          </w:rPr>
          <w:t>Średnia oceny, czy oferta edukacyjna szkół pomaturalnych, policealnych lub wyższych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_Toc315790492 \h </w:instrText>
        </w:r>
        <w:r w:rsidRPr="006D4975">
          <w:rPr>
            <w:noProof/>
            <w:webHidden/>
            <w:sz w:val="22"/>
          </w:rPr>
        </w:r>
        <w:r w:rsidRPr="006D4975">
          <w:rPr>
            <w:noProof/>
            <w:webHidden/>
            <w:sz w:val="22"/>
          </w:rPr>
          <w:fldChar w:fldCharType="separate"/>
        </w:r>
        <w:r w:rsidR="009E4FA2">
          <w:rPr>
            <w:noProof/>
            <w:webHidden/>
            <w:sz w:val="22"/>
          </w:rPr>
          <w:t>21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3" w:history="1">
        <w:r w:rsidR="006D4975" w:rsidRPr="006D4975">
          <w:rPr>
            <w:rStyle w:val="Hipercze"/>
            <w:rFonts w:ascii="Calibri" w:hAnsi="Calibri" w:cs="Tahoma"/>
            <w:noProof/>
            <w:sz w:val="22"/>
          </w:rPr>
          <w:t>Wykres 24.</w:t>
        </w:r>
        <w:r w:rsidR="006D4975" w:rsidRPr="006D4975">
          <w:rPr>
            <w:rStyle w:val="Hipercze"/>
            <w:b/>
            <w:bCs/>
            <w:noProof/>
            <w:kern w:val="24"/>
            <w:sz w:val="22"/>
          </w:rPr>
          <w:t xml:space="preserve"> </w:t>
        </w:r>
        <w:r w:rsidR="006D4975" w:rsidRPr="006D4975">
          <w:rPr>
            <w:rStyle w:val="Hipercze"/>
            <w:rFonts w:ascii="Calibri" w:hAnsi="Calibri" w:cs="Tahoma"/>
            <w:bCs/>
            <w:noProof/>
            <w:sz w:val="22"/>
          </w:rPr>
          <w:t>Urządzenia sieciowe - korzystający z instalacji w % ogółu ludności w Nowej Soli i miastach o porównywalnej wielkości.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_Toc315790493 \h </w:instrText>
        </w:r>
        <w:r w:rsidRPr="006D4975">
          <w:rPr>
            <w:noProof/>
            <w:webHidden/>
            <w:sz w:val="22"/>
          </w:rPr>
        </w:r>
        <w:r w:rsidRPr="006D4975">
          <w:rPr>
            <w:noProof/>
            <w:webHidden/>
            <w:sz w:val="22"/>
          </w:rPr>
          <w:fldChar w:fldCharType="separate"/>
        </w:r>
        <w:r w:rsidR="009E4FA2">
          <w:rPr>
            <w:noProof/>
            <w:webHidden/>
            <w:sz w:val="22"/>
          </w:rPr>
          <w:t>25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4" w:history="1">
        <w:r w:rsidR="006D4975" w:rsidRPr="006D4975">
          <w:rPr>
            <w:rStyle w:val="Hipercze"/>
            <w:rFonts w:ascii="Calibri" w:hAnsi="Calibri"/>
            <w:noProof/>
            <w:sz w:val="22"/>
          </w:rPr>
          <w:t>Wykres 25.</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ulice są w dobrym stanie technicznym.</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_Toc315790494 \h </w:instrText>
        </w:r>
        <w:r w:rsidRPr="006D4975">
          <w:rPr>
            <w:noProof/>
            <w:webHidden/>
            <w:sz w:val="22"/>
          </w:rPr>
        </w:r>
        <w:r w:rsidRPr="006D4975">
          <w:rPr>
            <w:noProof/>
            <w:webHidden/>
            <w:sz w:val="22"/>
          </w:rPr>
          <w:fldChar w:fldCharType="separate"/>
        </w:r>
        <w:r w:rsidR="009E4FA2">
          <w:rPr>
            <w:noProof/>
            <w:webHidden/>
            <w:sz w:val="22"/>
          </w:rPr>
          <w:t>30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5" w:history="1">
        <w:r w:rsidR="006D4975" w:rsidRPr="006D4975">
          <w:rPr>
            <w:rStyle w:val="Hipercze"/>
            <w:rFonts w:ascii="Calibri" w:hAnsi="Calibri"/>
            <w:noProof/>
            <w:sz w:val="22"/>
          </w:rPr>
          <w:t>Wykres 26.</w:t>
        </w:r>
        <w:r w:rsidR="006D4975" w:rsidRPr="006D4975">
          <w:rPr>
            <w:rStyle w:val="Hipercze"/>
            <w:noProof/>
            <w:sz w:val="22"/>
          </w:rPr>
          <w:t xml:space="preserve"> </w:t>
        </w:r>
        <w:r w:rsidR="006D4975" w:rsidRPr="006D4975">
          <w:rPr>
            <w:rStyle w:val="Hipercze"/>
            <w:rFonts w:ascii="Calibri" w:hAnsi="Calibri"/>
            <w:noProof/>
            <w:sz w:val="22"/>
          </w:rPr>
          <w:t>Średnia oceny, czy stan techniczny ulic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_Toc315790495 \h </w:instrText>
        </w:r>
        <w:r w:rsidRPr="006D4975">
          <w:rPr>
            <w:noProof/>
            <w:webHidden/>
            <w:sz w:val="22"/>
          </w:rPr>
        </w:r>
        <w:r w:rsidRPr="006D4975">
          <w:rPr>
            <w:noProof/>
            <w:webHidden/>
            <w:sz w:val="22"/>
          </w:rPr>
          <w:fldChar w:fldCharType="separate"/>
        </w:r>
        <w:r w:rsidR="009E4FA2">
          <w:rPr>
            <w:noProof/>
            <w:webHidden/>
            <w:sz w:val="22"/>
          </w:rPr>
          <w:t>30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6" w:history="1">
        <w:r w:rsidR="006D4975" w:rsidRPr="006D4975">
          <w:rPr>
            <w:rStyle w:val="Hipercze"/>
            <w:rFonts w:ascii="Calibri" w:hAnsi="Calibri"/>
            <w:noProof/>
            <w:sz w:val="22"/>
          </w:rPr>
          <w:t>Wykres 27.</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jest mało korków ulicznych i można się szybko przemieszczać.</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_Toc315790496 \h </w:instrText>
        </w:r>
        <w:r w:rsidRPr="006D4975">
          <w:rPr>
            <w:noProof/>
            <w:webHidden/>
            <w:sz w:val="22"/>
          </w:rPr>
        </w:r>
        <w:r w:rsidRPr="006D4975">
          <w:rPr>
            <w:noProof/>
            <w:webHidden/>
            <w:sz w:val="22"/>
          </w:rPr>
          <w:fldChar w:fldCharType="separate"/>
        </w:r>
        <w:r w:rsidR="009E4FA2">
          <w:rPr>
            <w:noProof/>
            <w:webHidden/>
            <w:sz w:val="22"/>
          </w:rPr>
          <w:t>31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7" w:history="1">
        <w:r w:rsidR="006D4975" w:rsidRPr="006D4975">
          <w:rPr>
            <w:rStyle w:val="Hipercze"/>
            <w:rFonts w:ascii="Calibri" w:hAnsi="Calibri"/>
            <w:noProof/>
            <w:sz w:val="22"/>
          </w:rPr>
          <w:t>Wykres 28.</w:t>
        </w:r>
        <w:r w:rsidR="006D4975" w:rsidRPr="006D4975">
          <w:rPr>
            <w:rStyle w:val="Hipercze"/>
            <w:noProof/>
            <w:sz w:val="22"/>
          </w:rPr>
          <w:t xml:space="preserve"> </w:t>
        </w:r>
        <w:r w:rsidR="006D4975" w:rsidRPr="006D4975">
          <w:rPr>
            <w:rStyle w:val="Hipercze"/>
            <w:rFonts w:ascii="Calibri" w:hAnsi="Calibri"/>
            <w:noProof/>
            <w:sz w:val="22"/>
          </w:rPr>
          <w:t>Średnia oceny, czy korki uliczne mają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_Toc315790497 \h </w:instrText>
        </w:r>
        <w:r w:rsidRPr="006D4975">
          <w:rPr>
            <w:noProof/>
            <w:webHidden/>
            <w:sz w:val="22"/>
          </w:rPr>
        </w:r>
        <w:r w:rsidRPr="006D4975">
          <w:rPr>
            <w:noProof/>
            <w:webHidden/>
            <w:sz w:val="22"/>
          </w:rPr>
          <w:fldChar w:fldCharType="separate"/>
        </w:r>
        <w:r w:rsidR="009E4FA2">
          <w:rPr>
            <w:noProof/>
            <w:webHidden/>
            <w:sz w:val="22"/>
          </w:rPr>
          <w:t>31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8" w:history="1">
        <w:r w:rsidR="006D4975" w:rsidRPr="006D4975">
          <w:rPr>
            <w:rStyle w:val="Hipercze"/>
            <w:rFonts w:ascii="Calibri" w:hAnsi="Calibri"/>
            <w:noProof/>
            <w:sz w:val="22"/>
          </w:rPr>
          <w:t>Wykres 29.</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z miasta łatwo jest dostać się do innych dużych miast.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_Toc315790498 \h </w:instrText>
        </w:r>
        <w:r w:rsidRPr="006D4975">
          <w:rPr>
            <w:noProof/>
            <w:webHidden/>
            <w:sz w:val="22"/>
          </w:rPr>
        </w:r>
        <w:r w:rsidRPr="006D4975">
          <w:rPr>
            <w:noProof/>
            <w:webHidden/>
            <w:sz w:val="22"/>
          </w:rPr>
          <w:fldChar w:fldCharType="separate"/>
        </w:r>
        <w:r w:rsidR="009E4FA2">
          <w:rPr>
            <w:noProof/>
            <w:webHidden/>
            <w:sz w:val="22"/>
          </w:rPr>
          <w:t>32</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499" w:history="1">
        <w:r w:rsidR="006D4975" w:rsidRPr="006D4975">
          <w:rPr>
            <w:rStyle w:val="Hipercze"/>
            <w:rFonts w:ascii="Calibri" w:hAnsi="Calibri"/>
            <w:noProof/>
            <w:sz w:val="22"/>
          </w:rPr>
          <w:t>Wykres 30.</w:t>
        </w:r>
        <w:r w:rsidR="006D4975" w:rsidRPr="006D4975">
          <w:rPr>
            <w:rStyle w:val="Hipercze"/>
            <w:noProof/>
            <w:sz w:val="22"/>
          </w:rPr>
          <w:t xml:space="preserve"> </w:t>
        </w:r>
        <w:r w:rsidR="006D4975" w:rsidRPr="006D4975">
          <w:rPr>
            <w:rStyle w:val="Hipercze"/>
            <w:rFonts w:ascii="Calibri" w:hAnsi="Calibri"/>
            <w:noProof/>
            <w:sz w:val="22"/>
          </w:rPr>
          <w:t>Średnia oceny, czy skomunikowanie z innymi dużymi miastami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_Toc315790499 \h </w:instrText>
        </w:r>
        <w:r w:rsidRPr="006D4975">
          <w:rPr>
            <w:noProof/>
            <w:webHidden/>
            <w:sz w:val="22"/>
          </w:rPr>
        </w:r>
        <w:r w:rsidRPr="006D4975">
          <w:rPr>
            <w:noProof/>
            <w:webHidden/>
            <w:sz w:val="22"/>
          </w:rPr>
          <w:fldChar w:fldCharType="separate"/>
        </w:r>
        <w:r w:rsidR="009E4FA2">
          <w:rPr>
            <w:noProof/>
            <w:webHidden/>
            <w:sz w:val="22"/>
          </w:rPr>
          <w:t>32</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0" w:history="1">
        <w:r w:rsidR="006D4975" w:rsidRPr="006D4975">
          <w:rPr>
            <w:rStyle w:val="Hipercze"/>
            <w:rFonts w:ascii="Calibri" w:hAnsi="Calibri"/>
            <w:noProof/>
            <w:sz w:val="22"/>
          </w:rPr>
          <w:t>Wykres 31.</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komunikacja autobusowa jest dobrze rozwinięta, tzn. można łatwo dotrzeć do wielu miejsc na terenie miasta.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_Toc315790500 \h </w:instrText>
        </w:r>
        <w:r w:rsidRPr="006D4975">
          <w:rPr>
            <w:noProof/>
            <w:webHidden/>
            <w:sz w:val="22"/>
          </w:rPr>
        </w:r>
        <w:r w:rsidRPr="006D4975">
          <w:rPr>
            <w:noProof/>
            <w:webHidden/>
            <w:sz w:val="22"/>
          </w:rPr>
          <w:fldChar w:fldCharType="separate"/>
        </w:r>
        <w:r w:rsidR="009E4FA2">
          <w:rPr>
            <w:noProof/>
            <w:webHidden/>
            <w:sz w:val="22"/>
          </w:rPr>
          <w:t>33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1" w:history="1">
        <w:r w:rsidR="006D4975" w:rsidRPr="006D4975">
          <w:rPr>
            <w:rStyle w:val="Hipercze"/>
            <w:rFonts w:ascii="Calibri" w:hAnsi="Calibri"/>
            <w:noProof/>
            <w:sz w:val="22"/>
          </w:rPr>
          <w:t>Wykres 32.</w:t>
        </w:r>
        <w:r w:rsidR="006D4975" w:rsidRPr="006D4975">
          <w:rPr>
            <w:rStyle w:val="Hipercze"/>
            <w:noProof/>
            <w:sz w:val="22"/>
          </w:rPr>
          <w:t xml:space="preserve"> </w:t>
        </w:r>
        <w:r w:rsidR="006D4975" w:rsidRPr="006D4975">
          <w:rPr>
            <w:rStyle w:val="Hipercze"/>
            <w:rFonts w:ascii="Calibri" w:hAnsi="Calibri"/>
            <w:noProof/>
            <w:sz w:val="22"/>
          </w:rPr>
          <w:t>Średnia oceny, czy jakość funkcjonowania komunikacji autobusowej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_Toc315790501 \h </w:instrText>
        </w:r>
        <w:r w:rsidRPr="006D4975">
          <w:rPr>
            <w:noProof/>
            <w:webHidden/>
            <w:sz w:val="22"/>
          </w:rPr>
        </w:r>
        <w:r w:rsidRPr="006D4975">
          <w:rPr>
            <w:noProof/>
            <w:webHidden/>
            <w:sz w:val="22"/>
          </w:rPr>
          <w:fldChar w:fldCharType="separate"/>
        </w:r>
        <w:r w:rsidR="009E4FA2">
          <w:rPr>
            <w:noProof/>
            <w:webHidden/>
            <w:sz w:val="22"/>
          </w:rPr>
          <w:t>33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2" w:history="1">
        <w:r w:rsidR="006D4975" w:rsidRPr="006D4975">
          <w:rPr>
            <w:rStyle w:val="Hipercze"/>
            <w:rFonts w:ascii="Calibri" w:hAnsi="Calibri" w:cs="Tahoma"/>
            <w:noProof/>
            <w:sz w:val="22"/>
          </w:rPr>
          <w:t>Wykres 33.</w:t>
        </w:r>
        <w:r w:rsidR="006D4975" w:rsidRPr="006D4975">
          <w:rPr>
            <w:rStyle w:val="Hipercze"/>
            <w:b/>
            <w:bCs/>
            <w:noProof/>
            <w:kern w:val="24"/>
            <w:sz w:val="22"/>
          </w:rPr>
          <w:t xml:space="preserve"> </w:t>
        </w:r>
        <w:r w:rsidR="006D4975" w:rsidRPr="006D4975">
          <w:rPr>
            <w:rStyle w:val="Hipercze"/>
            <w:rFonts w:ascii="Calibri" w:hAnsi="Calibri" w:cs="Tahoma"/>
            <w:bCs/>
            <w:noProof/>
            <w:sz w:val="22"/>
          </w:rPr>
          <w:t>Odpady wytworzone w Nowej Soli i miastach o porównywalnej wielkości.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_Toc315790502 \h </w:instrText>
        </w:r>
        <w:r w:rsidRPr="006D4975">
          <w:rPr>
            <w:noProof/>
            <w:webHidden/>
            <w:sz w:val="22"/>
          </w:rPr>
        </w:r>
        <w:r w:rsidRPr="006D4975">
          <w:rPr>
            <w:noProof/>
            <w:webHidden/>
            <w:sz w:val="22"/>
          </w:rPr>
          <w:fldChar w:fldCharType="separate"/>
        </w:r>
        <w:r w:rsidR="009E4FA2">
          <w:rPr>
            <w:noProof/>
            <w:webHidden/>
            <w:sz w:val="22"/>
          </w:rPr>
          <w:t>37</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3" w:history="1">
        <w:r w:rsidR="006D4975" w:rsidRPr="006D4975">
          <w:rPr>
            <w:rStyle w:val="Hipercze"/>
            <w:rFonts w:ascii="Calibri" w:hAnsi="Calibri"/>
            <w:noProof/>
            <w:sz w:val="22"/>
          </w:rPr>
          <w:t>Wykres 34.</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powietrze jest czyste.</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_Toc315790503 \h </w:instrText>
        </w:r>
        <w:r w:rsidRPr="006D4975">
          <w:rPr>
            <w:noProof/>
            <w:webHidden/>
            <w:sz w:val="22"/>
          </w:rPr>
        </w:r>
        <w:r w:rsidRPr="006D4975">
          <w:rPr>
            <w:noProof/>
            <w:webHidden/>
            <w:sz w:val="22"/>
          </w:rPr>
          <w:fldChar w:fldCharType="separate"/>
        </w:r>
        <w:r w:rsidR="009E4FA2">
          <w:rPr>
            <w:noProof/>
            <w:webHidden/>
            <w:sz w:val="22"/>
          </w:rPr>
          <w:t>38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4" w:history="1">
        <w:r w:rsidR="006D4975" w:rsidRPr="006D4975">
          <w:rPr>
            <w:rStyle w:val="Hipercze"/>
            <w:rFonts w:ascii="Calibri" w:hAnsi="Calibri"/>
            <w:noProof/>
            <w:sz w:val="22"/>
          </w:rPr>
          <w:t>Wykres 35.</w:t>
        </w:r>
        <w:r w:rsidR="006D4975" w:rsidRPr="006D4975">
          <w:rPr>
            <w:rStyle w:val="Hipercze"/>
            <w:noProof/>
            <w:sz w:val="22"/>
          </w:rPr>
          <w:t xml:space="preserve"> </w:t>
        </w:r>
        <w:r w:rsidR="006D4975" w:rsidRPr="006D4975">
          <w:rPr>
            <w:rStyle w:val="Hipercze"/>
            <w:rFonts w:ascii="Calibri" w:hAnsi="Calibri"/>
            <w:noProof/>
            <w:sz w:val="22"/>
          </w:rPr>
          <w:t>Średnia oceny, czy czystość powietrza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_Toc315790504 \h </w:instrText>
        </w:r>
        <w:r w:rsidRPr="006D4975">
          <w:rPr>
            <w:noProof/>
            <w:webHidden/>
            <w:sz w:val="22"/>
          </w:rPr>
        </w:r>
        <w:r w:rsidRPr="006D4975">
          <w:rPr>
            <w:noProof/>
            <w:webHidden/>
            <w:sz w:val="22"/>
          </w:rPr>
          <w:fldChar w:fldCharType="separate"/>
        </w:r>
        <w:r w:rsidR="009E4FA2">
          <w:rPr>
            <w:noProof/>
            <w:webHidden/>
            <w:sz w:val="22"/>
          </w:rPr>
          <w:t>38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5" w:history="1">
        <w:r w:rsidR="006D4975" w:rsidRPr="006D4975">
          <w:rPr>
            <w:rStyle w:val="Hipercze"/>
            <w:rFonts w:ascii="Calibri" w:hAnsi="Calibri" w:cs="Tahoma"/>
            <w:noProof/>
            <w:sz w:val="22"/>
          </w:rPr>
          <w:t>Wykres 36.</w:t>
        </w:r>
        <w:r w:rsidR="006D4975" w:rsidRPr="006D4975">
          <w:rPr>
            <w:rStyle w:val="Hipercze"/>
            <w:bCs/>
            <w:noProof/>
            <w:kern w:val="24"/>
            <w:sz w:val="22"/>
          </w:rPr>
          <w:t xml:space="preserve"> </w:t>
        </w:r>
        <w:r w:rsidR="006D4975" w:rsidRPr="006D4975">
          <w:rPr>
            <w:rStyle w:val="Hipercze"/>
            <w:rFonts w:ascii="Calibri" w:hAnsi="Calibri" w:cs="Tahoma"/>
            <w:bCs/>
            <w:noProof/>
            <w:sz w:val="22"/>
          </w:rPr>
          <w:t>Realizacja wydatków inwestycyjnych w Nowej Soli</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_Toc315790505 \h </w:instrText>
        </w:r>
        <w:r w:rsidRPr="006D4975">
          <w:rPr>
            <w:noProof/>
            <w:webHidden/>
            <w:sz w:val="22"/>
          </w:rPr>
        </w:r>
        <w:r w:rsidRPr="006D4975">
          <w:rPr>
            <w:noProof/>
            <w:webHidden/>
            <w:sz w:val="22"/>
          </w:rPr>
          <w:fldChar w:fldCharType="separate"/>
        </w:r>
        <w:r w:rsidR="009E4FA2">
          <w:rPr>
            <w:noProof/>
            <w:webHidden/>
            <w:sz w:val="22"/>
          </w:rPr>
          <w:t>40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6" w:history="1">
        <w:r w:rsidR="006D4975" w:rsidRPr="006D4975">
          <w:rPr>
            <w:rStyle w:val="Hipercze"/>
            <w:rFonts w:ascii="Calibri" w:hAnsi="Calibri" w:cs="Tahoma"/>
            <w:noProof/>
            <w:sz w:val="22"/>
          </w:rPr>
          <w:t>Wykres 37.</w:t>
        </w:r>
        <w:r w:rsidR="006D4975" w:rsidRPr="006D4975">
          <w:rPr>
            <w:rStyle w:val="Hipercze"/>
            <w:bCs/>
            <w:noProof/>
            <w:kern w:val="24"/>
            <w:sz w:val="22"/>
          </w:rPr>
          <w:t xml:space="preserve"> </w:t>
        </w:r>
        <w:r w:rsidR="006D4975" w:rsidRPr="006D4975">
          <w:rPr>
            <w:rStyle w:val="Hipercze"/>
            <w:rFonts w:ascii="Calibri" w:hAnsi="Calibri" w:cs="Tahoma"/>
            <w:bCs/>
            <w:noProof/>
            <w:sz w:val="22"/>
          </w:rPr>
          <w:t>Dochody i wydatki budżetowe w Nowej Soli i wybranych miastach o porównywalnej wielkości</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_Toc315790506 \h </w:instrText>
        </w:r>
        <w:r w:rsidRPr="006D4975">
          <w:rPr>
            <w:noProof/>
            <w:webHidden/>
            <w:sz w:val="22"/>
          </w:rPr>
        </w:r>
        <w:r w:rsidRPr="006D4975">
          <w:rPr>
            <w:noProof/>
            <w:webHidden/>
            <w:sz w:val="22"/>
          </w:rPr>
          <w:fldChar w:fldCharType="separate"/>
        </w:r>
        <w:r w:rsidR="009E4FA2">
          <w:rPr>
            <w:noProof/>
            <w:webHidden/>
            <w:sz w:val="22"/>
          </w:rPr>
          <w:t>40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7" w:history="1">
        <w:r w:rsidR="006D4975" w:rsidRPr="006D4975">
          <w:rPr>
            <w:rStyle w:val="Hipercze"/>
            <w:rFonts w:ascii="Calibri" w:hAnsi="Calibri" w:cs="Tahoma"/>
            <w:noProof/>
            <w:sz w:val="22"/>
          </w:rPr>
          <w:t>Wykres 38.</w:t>
        </w:r>
        <w:r w:rsidR="006D4975" w:rsidRPr="006D4975">
          <w:rPr>
            <w:rStyle w:val="Hipercze"/>
            <w:bCs/>
            <w:noProof/>
            <w:kern w:val="24"/>
            <w:sz w:val="22"/>
          </w:rPr>
          <w:t xml:space="preserve"> </w:t>
        </w:r>
        <w:r w:rsidR="006D4975" w:rsidRPr="006D4975">
          <w:rPr>
            <w:rStyle w:val="Hipercze"/>
            <w:rFonts w:ascii="Calibri" w:hAnsi="Calibri" w:cs="Tahoma"/>
            <w:bCs/>
            <w:noProof/>
            <w:sz w:val="22"/>
          </w:rPr>
          <w:t>Samodzielność finansowa Nowej Soli i miast porównywalnej wielkości.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_Toc315790507 \h </w:instrText>
        </w:r>
        <w:r w:rsidRPr="006D4975">
          <w:rPr>
            <w:noProof/>
            <w:webHidden/>
            <w:sz w:val="22"/>
          </w:rPr>
        </w:r>
        <w:r w:rsidRPr="006D4975">
          <w:rPr>
            <w:noProof/>
            <w:webHidden/>
            <w:sz w:val="22"/>
          </w:rPr>
          <w:fldChar w:fldCharType="separate"/>
        </w:r>
        <w:r w:rsidR="009E4FA2">
          <w:rPr>
            <w:noProof/>
            <w:webHidden/>
            <w:sz w:val="22"/>
          </w:rPr>
          <w:t>41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8" w:history="1">
        <w:r w:rsidR="006D4975" w:rsidRPr="006D4975">
          <w:rPr>
            <w:rStyle w:val="Hipercze"/>
            <w:rFonts w:ascii="Calibri" w:hAnsi="Calibri" w:cs="Tahoma"/>
            <w:noProof/>
            <w:sz w:val="22"/>
          </w:rPr>
          <w:t>Wykres 39.</w:t>
        </w:r>
        <w:r w:rsidR="006D4975" w:rsidRPr="006D4975">
          <w:rPr>
            <w:rStyle w:val="Hipercze"/>
            <w:b/>
            <w:bCs/>
            <w:noProof/>
            <w:kern w:val="24"/>
            <w:sz w:val="22"/>
          </w:rPr>
          <w:t xml:space="preserve"> </w:t>
        </w:r>
        <w:r w:rsidR="006D4975" w:rsidRPr="006D4975">
          <w:rPr>
            <w:rStyle w:val="Hipercze"/>
            <w:rFonts w:ascii="Calibri" w:hAnsi="Calibri" w:cs="Tahoma"/>
            <w:bCs/>
            <w:noProof/>
            <w:sz w:val="22"/>
          </w:rPr>
          <w:t>Projekcja nadwyżki operacyjnej</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_Toc315790508 \h </w:instrText>
        </w:r>
        <w:r w:rsidRPr="006D4975">
          <w:rPr>
            <w:noProof/>
            <w:webHidden/>
            <w:sz w:val="22"/>
          </w:rPr>
        </w:r>
        <w:r w:rsidRPr="006D4975">
          <w:rPr>
            <w:noProof/>
            <w:webHidden/>
            <w:sz w:val="22"/>
          </w:rPr>
          <w:fldChar w:fldCharType="separate"/>
        </w:r>
        <w:r w:rsidR="009E4FA2">
          <w:rPr>
            <w:noProof/>
            <w:webHidden/>
            <w:sz w:val="22"/>
          </w:rPr>
          <w:t>42</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09" w:history="1">
        <w:r w:rsidR="006D4975" w:rsidRPr="006D4975">
          <w:rPr>
            <w:rStyle w:val="Hipercze"/>
            <w:rFonts w:ascii="Calibri" w:hAnsi="Calibri"/>
            <w:noProof/>
            <w:sz w:val="22"/>
          </w:rPr>
          <w:t>Wykres 40.</w:t>
        </w:r>
        <w:r w:rsidR="006D4975" w:rsidRPr="006D4975">
          <w:rPr>
            <w:rStyle w:val="Hipercze"/>
            <w:noProof/>
            <w:kern w:val="24"/>
            <w:sz w:val="22"/>
          </w:rPr>
          <w:t xml:space="preserve"> </w:t>
        </w:r>
        <w:r w:rsidR="006D4975" w:rsidRPr="006D4975">
          <w:rPr>
            <w:rStyle w:val="Hipercze"/>
            <w:rFonts w:ascii="Calibri" w:hAnsi="Calibri"/>
            <w:noProof/>
            <w:sz w:val="22"/>
          </w:rPr>
          <w:t>Liczba podmiotów wpisanych do rejestru REGON w Nowej Soli w latach 1995-2010.</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_Toc315790509 \h </w:instrText>
        </w:r>
        <w:r w:rsidRPr="006D4975">
          <w:rPr>
            <w:noProof/>
            <w:webHidden/>
            <w:sz w:val="22"/>
          </w:rPr>
        </w:r>
        <w:r w:rsidRPr="006D4975">
          <w:rPr>
            <w:noProof/>
            <w:webHidden/>
            <w:sz w:val="22"/>
          </w:rPr>
          <w:fldChar w:fldCharType="separate"/>
        </w:r>
        <w:r w:rsidR="009E4FA2">
          <w:rPr>
            <w:noProof/>
            <w:webHidden/>
            <w:sz w:val="22"/>
          </w:rPr>
          <w:t>43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0" w:history="1">
        <w:r w:rsidR="006D4975" w:rsidRPr="006D4975">
          <w:rPr>
            <w:rStyle w:val="Hipercze"/>
            <w:rFonts w:ascii="Calibri" w:hAnsi="Calibri"/>
            <w:noProof/>
            <w:sz w:val="22"/>
          </w:rPr>
          <w:t>Wykres 41.</w:t>
        </w:r>
        <w:r w:rsidR="006D4975" w:rsidRPr="006D4975">
          <w:rPr>
            <w:rStyle w:val="Hipercze"/>
            <w:noProof/>
            <w:kern w:val="24"/>
            <w:sz w:val="22"/>
          </w:rPr>
          <w:t xml:space="preserve"> </w:t>
        </w:r>
        <w:r w:rsidR="006D4975" w:rsidRPr="006D4975">
          <w:rPr>
            <w:rStyle w:val="Hipercze"/>
            <w:rFonts w:ascii="Calibri" w:hAnsi="Calibri"/>
            <w:noProof/>
            <w:sz w:val="22"/>
          </w:rPr>
          <w:t>Podmioty zarejestrowane w rejestrze REGON na 10 tys. ludności w 2009 r. - Nowa Sól na tle Polski, województwa, powiatu oraz miast o podobnej wielkości.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_Toc315790510 \h </w:instrText>
        </w:r>
        <w:r w:rsidRPr="006D4975">
          <w:rPr>
            <w:noProof/>
            <w:webHidden/>
            <w:sz w:val="22"/>
          </w:rPr>
        </w:r>
        <w:r w:rsidRPr="006D4975">
          <w:rPr>
            <w:noProof/>
            <w:webHidden/>
            <w:sz w:val="22"/>
          </w:rPr>
          <w:fldChar w:fldCharType="separate"/>
        </w:r>
        <w:r w:rsidR="009E4FA2">
          <w:rPr>
            <w:noProof/>
            <w:webHidden/>
            <w:sz w:val="22"/>
          </w:rPr>
          <w:t>44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1" w:history="1">
        <w:r w:rsidR="006D4975" w:rsidRPr="006D4975">
          <w:rPr>
            <w:rStyle w:val="Hipercze"/>
            <w:rFonts w:ascii="Calibri" w:hAnsi="Calibri"/>
            <w:noProof/>
            <w:sz w:val="22"/>
          </w:rPr>
          <w:t>Wykres 42.</w:t>
        </w:r>
        <w:r w:rsidR="006D4975" w:rsidRPr="006D4975">
          <w:rPr>
            <w:rStyle w:val="Hipercze"/>
            <w:noProof/>
            <w:kern w:val="24"/>
            <w:sz w:val="22"/>
          </w:rPr>
          <w:t xml:space="preserve"> </w:t>
        </w:r>
        <w:r w:rsidR="006D4975" w:rsidRPr="006D4975">
          <w:rPr>
            <w:rStyle w:val="Hipercze"/>
            <w:rFonts w:ascii="Calibri" w:hAnsi="Calibri"/>
            <w:noProof/>
            <w:sz w:val="22"/>
          </w:rPr>
          <w:t>Struktura podmiotów gospodarczych w Nowej Soli wg wielkości zatrudnienia w 2010 r.</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_Toc315790511 \h </w:instrText>
        </w:r>
        <w:r w:rsidRPr="006D4975">
          <w:rPr>
            <w:noProof/>
            <w:webHidden/>
            <w:sz w:val="22"/>
          </w:rPr>
        </w:r>
        <w:r w:rsidRPr="006D4975">
          <w:rPr>
            <w:noProof/>
            <w:webHidden/>
            <w:sz w:val="22"/>
          </w:rPr>
          <w:fldChar w:fldCharType="separate"/>
        </w:r>
        <w:r w:rsidR="009E4FA2">
          <w:rPr>
            <w:noProof/>
            <w:webHidden/>
            <w:sz w:val="22"/>
          </w:rPr>
          <w:t>44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2" w:history="1">
        <w:r w:rsidR="006D4975" w:rsidRPr="006D4975">
          <w:rPr>
            <w:rStyle w:val="Hipercze"/>
            <w:rFonts w:ascii="Calibri" w:hAnsi="Calibri"/>
            <w:noProof/>
            <w:sz w:val="22"/>
          </w:rPr>
          <w:t>Wykres 43.</w:t>
        </w:r>
        <w:r w:rsidR="006D4975" w:rsidRPr="006D4975">
          <w:rPr>
            <w:rStyle w:val="Hipercze"/>
            <w:noProof/>
            <w:kern w:val="24"/>
            <w:sz w:val="22"/>
          </w:rPr>
          <w:t xml:space="preserve"> </w:t>
        </w:r>
        <w:r w:rsidR="006D4975" w:rsidRPr="006D4975">
          <w:rPr>
            <w:rStyle w:val="Hipercze"/>
            <w:rFonts w:ascii="Calibri" w:hAnsi="Calibri"/>
            <w:noProof/>
            <w:sz w:val="22"/>
          </w:rPr>
          <w:t>Struktura podmiotów gospodarczych w Nowej Soli wg sekcji PKD w 2010 r.</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_Toc315790512 \h </w:instrText>
        </w:r>
        <w:r w:rsidRPr="006D4975">
          <w:rPr>
            <w:noProof/>
            <w:webHidden/>
            <w:sz w:val="22"/>
          </w:rPr>
        </w:r>
        <w:r w:rsidRPr="006D4975">
          <w:rPr>
            <w:noProof/>
            <w:webHidden/>
            <w:sz w:val="22"/>
          </w:rPr>
          <w:fldChar w:fldCharType="separate"/>
        </w:r>
        <w:r w:rsidR="009E4FA2">
          <w:rPr>
            <w:noProof/>
            <w:webHidden/>
            <w:sz w:val="22"/>
          </w:rPr>
          <w:t>45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3" w:history="1">
        <w:r w:rsidR="006D4975" w:rsidRPr="006D4975">
          <w:rPr>
            <w:rStyle w:val="Hipercze"/>
            <w:rFonts w:ascii="Calibri" w:hAnsi="Calibri" w:cs="Tahoma"/>
            <w:noProof/>
            <w:sz w:val="22"/>
          </w:rPr>
          <w:t>Wykres 44.</w:t>
        </w:r>
        <w:r w:rsidR="006D4975" w:rsidRPr="006D4975">
          <w:rPr>
            <w:rStyle w:val="Hipercze"/>
            <w:b/>
            <w:bCs/>
            <w:noProof/>
            <w:kern w:val="24"/>
            <w:sz w:val="22"/>
          </w:rPr>
          <w:t xml:space="preserve"> </w:t>
        </w:r>
        <w:r w:rsidR="006D4975" w:rsidRPr="006D4975">
          <w:rPr>
            <w:rStyle w:val="Hipercze"/>
            <w:rFonts w:ascii="Calibri" w:hAnsi="Calibri" w:cs="Tahoma"/>
            <w:bCs/>
            <w:noProof/>
            <w:sz w:val="22"/>
          </w:rPr>
          <w:t>Mieszkania w Nowej Soli i miastach o porównywalnej wielkości  na 1000 mieszkańców</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_Toc315790513 \h </w:instrText>
        </w:r>
        <w:r w:rsidRPr="006D4975">
          <w:rPr>
            <w:noProof/>
            <w:webHidden/>
            <w:sz w:val="22"/>
          </w:rPr>
        </w:r>
        <w:r w:rsidRPr="006D4975">
          <w:rPr>
            <w:noProof/>
            <w:webHidden/>
            <w:sz w:val="22"/>
          </w:rPr>
          <w:fldChar w:fldCharType="separate"/>
        </w:r>
        <w:r w:rsidR="009E4FA2">
          <w:rPr>
            <w:noProof/>
            <w:webHidden/>
            <w:sz w:val="22"/>
          </w:rPr>
          <w:t>46</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4" w:history="1">
        <w:r w:rsidR="006D4975" w:rsidRPr="006D4975">
          <w:rPr>
            <w:rStyle w:val="Hipercze"/>
            <w:rFonts w:ascii="Calibri" w:hAnsi="Calibri" w:cs="Tahoma"/>
            <w:noProof/>
            <w:sz w:val="22"/>
          </w:rPr>
          <w:t>Wykres 45.</w:t>
        </w:r>
        <w:r w:rsidR="006D4975" w:rsidRPr="006D4975">
          <w:rPr>
            <w:rStyle w:val="Hipercze"/>
            <w:b/>
            <w:bCs/>
            <w:noProof/>
            <w:kern w:val="24"/>
            <w:sz w:val="22"/>
          </w:rPr>
          <w:t xml:space="preserve"> </w:t>
        </w:r>
        <w:r w:rsidR="006D4975" w:rsidRPr="006D4975">
          <w:rPr>
            <w:rStyle w:val="Hipercze"/>
            <w:rFonts w:ascii="Calibri" w:hAnsi="Calibri" w:cs="Tahoma"/>
            <w:bCs/>
            <w:noProof/>
            <w:sz w:val="22"/>
          </w:rPr>
          <w:t>Frekwencja w wybranych instytucjach kultury - biblioteki, kina, muzea w Nowej Soli.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_Toc315790514 \h </w:instrText>
        </w:r>
        <w:r w:rsidRPr="006D4975">
          <w:rPr>
            <w:noProof/>
            <w:webHidden/>
            <w:sz w:val="22"/>
          </w:rPr>
        </w:r>
        <w:r w:rsidRPr="006D4975">
          <w:rPr>
            <w:noProof/>
            <w:webHidden/>
            <w:sz w:val="22"/>
          </w:rPr>
          <w:fldChar w:fldCharType="separate"/>
        </w:r>
        <w:r w:rsidR="009E4FA2">
          <w:rPr>
            <w:noProof/>
            <w:webHidden/>
            <w:sz w:val="22"/>
          </w:rPr>
          <w:t>50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5" w:history="1">
        <w:r w:rsidR="006D4975" w:rsidRPr="006D4975">
          <w:rPr>
            <w:rStyle w:val="Hipercze"/>
            <w:rFonts w:ascii="Calibri" w:hAnsi="Calibri" w:cs="Tahoma"/>
            <w:noProof/>
            <w:sz w:val="22"/>
          </w:rPr>
          <w:t>Wykres 46.</w:t>
        </w:r>
        <w:r w:rsidR="006D4975" w:rsidRPr="006D4975">
          <w:rPr>
            <w:rStyle w:val="Hipercze"/>
            <w:bCs/>
            <w:noProof/>
            <w:kern w:val="24"/>
            <w:sz w:val="22"/>
          </w:rPr>
          <w:t xml:space="preserve"> </w:t>
        </w:r>
        <w:r w:rsidR="006D4975" w:rsidRPr="006D4975">
          <w:rPr>
            <w:rStyle w:val="Hipercze"/>
            <w:rFonts w:ascii="Calibri" w:hAnsi="Calibri" w:cs="Tahoma"/>
            <w:bCs/>
            <w:noProof/>
            <w:sz w:val="22"/>
          </w:rPr>
          <w:t>Uczestnicy życia kulturalnego w Nowej Soli w przeliczeniu na 1000 mieszkańców na tle miast o porównywalnej liczbie mieszkańców, województwa oraz kraju w 2009 roku</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_Toc315790515 \h </w:instrText>
        </w:r>
        <w:r w:rsidRPr="006D4975">
          <w:rPr>
            <w:noProof/>
            <w:webHidden/>
            <w:sz w:val="22"/>
          </w:rPr>
        </w:r>
        <w:r w:rsidRPr="006D4975">
          <w:rPr>
            <w:noProof/>
            <w:webHidden/>
            <w:sz w:val="22"/>
          </w:rPr>
          <w:fldChar w:fldCharType="separate"/>
        </w:r>
        <w:r w:rsidR="009E4FA2">
          <w:rPr>
            <w:noProof/>
            <w:webHidden/>
            <w:sz w:val="22"/>
          </w:rPr>
          <w:t>52</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6" w:history="1">
        <w:r w:rsidR="006D4975" w:rsidRPr="006D4975">
          <w:rPr>
            <w:rStyle w:val="Hipercze"/>
            <w:rFonts w:ascii="Calibri" w:hAnsi="Calibri" w:cs="Tahoma"/>
            <w:noProof/>
            <w:sz w:val="22"/>
          </w:rPr>
          <w:t>Wykres 47.</w:t>
        </w:r>
        <w:r w:rsidR="006D4975" w:rsidRPr="006D4975">
          <w:rPr>
            <w:rStyle w:val="Hipercze"/>
            <w:b/>
            <w:bCs/>
            <w:noProof/>
            <w:kern w:val="24"/>
            <w:sz w:val="22"/>
          </w:rPr>
          <w:t xml:space="preserve"> </w:t>
        </w:r>
        <w:r w:rsidR="006D4975" w:rsidRPr="006D4975">
          <w:rPr>
            <w:rStyle w:val="Hipercze"/>
            <w:rFonts w:ascii="Calibri" w:hAnsi="Calibri" w:cs="Tahoma"/>
            <w:bCs/>
            <w:noProof/>
            <w:sz w:val="22"/>
          </w:rPr>
          <w:t>Zwiedzający muzea i oddziały w Nowej Soli w przeliczeniu na 1000 mieszkańców na tle miast o porównywalnej liczbie mieszkańców, województwa oraz kraju w 2009 r.</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_Toc315790516 \h </w:instrText>
        </w:r>
        <w:r w:rsidRPr="006D4975">
          <w:rPr>
            <w:noProof/>
            <w:webHidden/>
            <w:sz w:val="22"/>
          </w:rPr>
        </w:r>
        <w:r w:rsidRPr="006D4975">
          <w:rPr>
            <w:noProof/>
            <w:webHidden/>
            <w:sz w:val="22"/>
          </w:rPr>
          <w:fldChar w:fldCharType="separate"/>
        </w:r>
        <w:r w:rsidR="009E4FA2">
          <w:rPr>
            <w:noProof/>
            <w:webHidden/>
            <w:sz w:val="22"/>
          </w:rPr>
          <w:t>53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7" w:history="1">
        <w:r w:rsidR="006D4975" w:rsidRPr="006D4975">
          <w:rPr>
            <w:rStyle w:val="Hipercze"/>
            <w:rFonts w:ascii="Calibri" w:hAnsi="Calibri" w:cs="Tahoma"/>
            <w:noProof/>
            <w:sz w:val="22"/>
          </w:rPr>
          <w:t>Wykres 48.</w:t>
        </w:r>
        <w:r w:rsidR="006D4975" w:rsidRPr="006D4975">
          <w:rPr>
            <w:rStyle w:val="Hipercze"/>
            <w:b/>
            <w:bCs/>
            <w:noProof/>
            <w:kern w:val="24"/>
            <w:sz w:val="22"/>
          </w:rPr>
          <w:t xml:space="preserve"> </w:t>
        </w:r>
        <w:r w:rsidR="006D4975" w:rsidRPr="006D4975">
          <w:rPr>
            <w:rStyle w:val="Hipercze"/>
            <w:rFonts w:ascii="Calibri" w:hAnsi="Calibri" w:cs="Tahoma"/>
            <w:bCs/>
            <w:noProof/>
            <w:sz w:val="22"/>
          </w:rPr>
          <w:t>Czytelnicy bibliotek publicznych w Nowej Soli w przeliczeniu na 1000 mieszkańców na tle miast o porównywalnej liczbie mieszkańców, województwa oraz kraju w 2009 roku.</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_Toc315790517 \h </w:instrText>
        </w:r>
        <w:r w:rsidRPr="006D4975">
          <w:rPr>
            <w:noProof/>
            <w:webHidden/>
            <w:sz w:val="22"/>
          </w:rPr>
        </w:r>
        <w:r w:rsidRPr="006D4975">
          <w:rPr>
            <w:noProof/>
            <w:webHidden/>
            <w:sz w:val="22"/>
          </w:rPr>
          <w:fldChar w:fldCharType="separate"/>
        </w:r>
        <w:r w:rsidR="009E4FA2">
          <w:rPr>
            <w:noProof/>
            <w:webHidden/>
            <w:sz w:val="22"/>
          </w:rPr>
          <w:t>53</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8" w:history="1">
        <w:r w:rsidR="006D4975" w:rsidRPr="006D4975">
          <w:rPr>
            <w:rStyle w:val="Hipercze"/>
            <w:rFonts w:ascii="Calibri" w:hAnsi="Calibri" w:cs="Tahoma"/>
            <w:noProof/>
            <w:sz w:val="22"/>
          </w:rPr>
          <w:t>Wykres 49.</w:t>
        </w:r>
        <w:r w:rsidR="006D4975" w:rsidRPr="006D4975">
          <w:rPr>
            <w:rStyle w:val="Hipercze"/>
            <w:rFonts w:ascii="Calibri" w:hAnsi="Calibri"/>
            <w:b/>
            <w:bCs/>
            <w:noProof/>
            <w:kern w:val="24"/>
            <w:sz w:val="22"/>
          </w:rPr>
          <w:t xml:space="preserve"> </w:t>
        </w:r>
        <w:r w:rsidR="006D4975" w:rsidRPr="006D4975">
          <w:rPr>
            <w:rStyle w:val="Hipercze"/>
            <w:rFonts w:ascii="Calibri" w:hAnsi="Calibri" w:cs="Tahoma"/>
            <w:bCs/>
            <w:noProof/>
            <w:sz w:val="22"/>
          </w:rPr>
          <w:t>Uczestnicy imprez i wydarzeń organizowanych przez lokalne ośrodki kultury w Nowej Soli w przeliczeniu na 1000 mieszkańców na tle miast o porównywalnej liczbie mieszkańców, województwa oraz kraju w 2009 roku.</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_Toc315790518 \h </w:instrText>
        </w:r>
        <w:r w:rsidRPr="006D4975">
          <w:rPr>
            <w:noProof/>
            <w:webHidden/>
            <w:sz w:val="22"/>
          </w:rPr>
        </w:r>
        <w:r w:rsidRPr="006D4975">
          <w:rPr>
            <w:noProof/>
            <w:webHidden/>
            <w:sz w:val="22"/>
          </w:rPr>
          <w:fldChar w:fldCharType="separate"/>
        </w:r>
        <w:r w:rsidR="009E4FA2">
          <w:rPr>
            <w:noProof/>
            <w:webHidden/>
            <w:sz w:val="22"/>
          </w:rPr>
          <w:t>54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19" w:history="1">
        <w:r w:rsidR="006D4975" w:rsidRPr="006D4975">
          <w:rPr>
            <w:rStyle w:val="Hipercze"/>
            <w:rFonts w:ascii="Calibri" w:hAnsi="Calibri"/>
            <w:noProof/>
            <w:sz w:val="22"/>
          </w:rPr>
          <w:t>Wykres 50.</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oferta kulturalna jest interesująca.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_Toc315790519 \h </w:instrText>
        </w:r>
        <w:r w:rsidRPr="006D4975">
          <w:rPr>
            <w:noProof/>
            <w:webHidden/>
            <w:sz w:val="22"/>
          </w:rPr>
        </w:r>
        <w:r w:rsidRPr="006D4975">
          <w:rPr>
            <w:noProof/>
            <w:webHidden/>
            <w:sz w:val="22"/>
          </w:rPr>
          <w:fldChar w:fldCharType="separate"/>
        </w:r>
        <w:r w:rsidR="009E4FA2">
          <w:rPr>
            <w:noProof/>
            <w:webHidden/>
            <w:sz w:val="22"/>
          </w:rPr>
          <w:t>55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0" w:history="1">
        <w:r w:rsidR="006D4975" w:rsidRPr="006D4975">
          <w:rPr>
            <w:rStyle w:val="Hipercze"/>
            <w:rFonts w:ascii="Calibri" w:hAnsi="Calibri"/>
            <w:noProof/>
            <w:sz w:val="22"/>
          </w:rPr>
          <w:t>Wykres 51.</w:t>
        </w:r>
        <w:r w:rsidR="006D4975" w:rsidRPr="006D4975">
          <w:rPr>
            <w:rStyle w:val="Hipercze"/>
            <w:noProof/>
            <w:sz w:val="22"/>
          </w:rPr>
          <w:t xml:space="preserve"> </w:t>
        </w:r>
        <w:r w:rsidR="006D4975" w:rsidRPr="006D4975">
          <w:rPr>
            <w:rStyle w:val="Hipercze"/>
            <w:rFonts w:ascii="Calibri" w:hAnsi="Calibri"/>
            <w:noProof/>
            <w:sz w:val="22"/>
          </w:rPr>
          <w:t>Średnia oceny, czy oferta kulturalna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_Toc315790520 \h </w:instrText>
        </w:r>
        <w:r w:rsidRPr="006D4975">
          <w:rPr>
            <w:noProof/>
            <w:webHidden/>
            <w:sz w:val="22"/>
          </w:rPr>
        </w:r>
        <w:r w:rsidRPr="006D4975">
          <w:rPr>
            <w:noProof/>
            <w:webHidden/>
            <w:sz w:val="22"/>
          </w:rPr>
          <w:fldChar w:fldCharType="separate"/>
        </w:r>
        <w:r w:rsidR="009E4FA2">
          <w:rPr>
            <w:noProof/>
            <w:webHidden/>
            <w:sz w:val="22"/>
          </w:rPr>
          <w:t>55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1" w:history="1">
        <w:r w:rsidR="006D4975" w:rsidRPr="006D4975">
          <w:rPr>
            <w:rStyle w:val="Hipercze"/>
            <w:rFonts w:ascii="Calibri" w:hAnsi="Calibri" w:cs="Tahoma"/>
            <w:noProof/>
            <w:sz w:val="22"/>
          </w:rPr>
          <w:t>Wykres 52.</w:t>
        </w:r>
        <w:r w:rsidR="006D4975" w:rsidRPr="006D4975">
          <w:rPr>
            <w:rStyle w:val="Hipercze"/>
            <w:b/>
            <w:bCs/>
            <w:noProof/>
            <w:kern w:val="24"/>
            <w:sz w:val="22"/>
          </w:rPr>
          <w:t xml:space="preserve"> </w:t>
        </w:r>
        <w:r w:rsidR="006D4975" w:rsidRPr="006D4975">
          <w:rPr>
            <w:rStyle w:val="Hipercze"/>
            <w:rFonts w:ascii="Calibri" w:hAnsi="Calibri" w:cs="Tahoma"/>
            <w:bCs/>
            <w:noProof/>
            <w:sz w:val="22"/>
          </w:rPr>
          <w:t>Korzystający z noclegów w Nowej Soli w 2009 roku w przeliczeniu na 1 000 mieszkańców na tle miast o porównywalnej liczbie mieszkańców, województwa oraz kraju</w:t>
        </w:r>
        <w:r w:rsidR="006D4975" w:rsidRPr="006D4975">
          <w:rPr>
            <w:rStyle w:val="Hipercze"/>
            <w:rFonts w:ascii="Calibri" w:hAnsi="Calibri" w:cs="Tahoma"/>
            <w:noProof/>
            <w:sz w:val="22"/>
          </w:rPr>
          <w:t>.</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_Toc315790521 \h </w:instrText>
        </w:r>
        <w:r w:rsidRPr="006D4975">
          <w:rPr>
            <w:noProof/>
            <w:webHidden/>
            <w:sz w:val="22"/>
          </w:rPr>
        </w:r>
        <w:r w:rsidRPr="006D4975">
          <w:rPr>
            <w:noProof/>
            <w:webHidden/>
            <w:sz w:val="22"/>
          </w:rPr>
          <w:fldChar w:fldCharType="separate"/>
        </w:r>
        <w:r w:rsidR="009E4FA2">
          <w:rPr>
            <w:noProof/>
            <w:webHidden/>
            <w:sz w:val="22"/>
          </w:rPr>
          <w:t>59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2" w:history="1">
        <w:r w:rsidR="006D4975" w:rsidRPr="006D4975">
          <w:rPr>
            <w:rStyle w:val="Hipercze"/>
            <w:rFonts w:ascii="Calibri" w:hAnsi="Calibri"/>
            <w:noProof/>
            <w:sz w:val="22"/>
          </w:rPr>
          <w:t>Wykres 53.</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oferta uprawiania sportu i rekreacji jest interesująca.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_Toc315790522 \h </w:instrText>
        </w:r>
        <w:r w:rsidRPr="006D4975">
          <w:rPr>
            <w:noProof/>
            <w:webHidden/>
            <w:sz w:val="22"/>
          </w:rPr>
        </w:r>
        <w:r w:rsidRPr="006D4975">
          <w:rPr>
            <w:noProof/>
            <w:webHidden/>
            <w:sz w:val="22"/>
          </w:rPr>
          <w:fldChar w:fldCharType="separate"/>
        </w:r>
        <w:r w:rsidR="009E4FA2">
          <w:rPr>
            <w:noProof/>
            <w:webHidden/>
            <w:sz w:val="22"/>
          </w:rPr>
          <w:t>60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3" w:history="1">
        <w:r w:rsidR="006D4975" w:rsidRPr="006D4975">
          <w:rPr>
            <w:rStyle w:val="Hipercze"/>
            <w:rFonts w:ascii="Calibri" w:hAnsi="Calibri"/>
            <w:noProof/>
            <w:sz w:val="22"/>
          </w:rPr>
          <w:t>Wykres 54.</w:t>
        </w:r>
        <w:r w:rsidR="006D4975" w:rsidRPr="006D4975">
          <w:rPr>
            <w:rStyle w:val="Hipercze"/>
            <w:noProof/>
            <w:sz w:val="22"/>
          </w:rPr>
          <w:t xml:space="preserve"> </w:t>
        </w:r>
        <w:r w:rsidR="006D4975" w:rsidRPr="006D4975">
          <w:rPr>
            <w:rStyle w:val="Hipercze"/>
            <w:rFonts w:ascii="Calibri" w:hAnsi="Calibri"/>
            <w:noProof/>
            <w:sz w:val="22"/>
          </w:rPr>
          <w:t>Średnia oceny, czy oferta uprawiania sportu i rekreacji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_Toc315790523 \h </w:instrText>
        </w:r>
        <w:r w:rsidRPr="006D4975">
          <w:rPr>
            <w:noProof/>
            <w:webHidden/>
            <w:sz w:val="22"/>
          </w:rPr>
        </w:r>
        <w:r w:rsidRPr="006D4975">
          <w:rPr>
            <w:noProof/>
            <w:webHidden/>
            <w:sz w:val="22"/>
          </w:rPr>
          <w:fldChar w:fldCharType="separate"/>
        </w:r>
        <w:r w:rsidR="009E4FA2">
          <w:rPr>
            <w:noProof/>
            <w:webHidden/>
            <w:sz w:val="22"/>
          </w:rPr>
          <w:t>61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4" w:history="1">
        <w:r w:rsidR="006D4975" w:rsidRPr="006D4975">
          <w:rPr>
            <w:rStyle w:val="Hipercze"/>
            <w:rFonts w:ascii="Calibri" w:hAnsi="Calibri"/>
            <w:noProof/>
            <w:sz w:val="22"/>
          </w:rPr>
          <w:t>Wykres 55.</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jest dużo miejsc do wypoczynku.</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_Toc315790524 \h </w:instrText>
        </w:r>
        <w:r w:rsidRPr="006D4975">
          <w:rPr>
            <w:noProof/>
            <w:webHidden/>
            <w:sz w:val="22"/>
          </w:rPr>
        </w:r>
        <w:r w:rsidRPr="006D4975">
          <w:rPr>
            <w:noProof/>
            <w:webHidden/>
            <w:sz w:val="22"/>
          </w:rPr>
          <w:fldChar w:fldCharType="separate"/>
        </w:r>
        <w:r w:rsidR="009E4FA2">
          <w:rPr>
            <w:noProof/>
            <w:webHidden/>
            <w:sz w:val="22"/>
          </w:rPr>
          <w:t>61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5" w:history="1">
        <w:r w:rsidR="006D4975" w:rsidRPr="006D4975">
          <w:rPr>
            <w:rStyle w:val="Hipercze"/>
            <w:rFonts w:ascii="Calibri" w:hAnsi="Calibri"/>
            <w:noProof/>
            <w:sz w:val="22"/>
          </w:rPr>
          <w:t>Wykres 56.</w:t>
        </w:r>
        <w:r w:rsidR="006D4975" w:rsidRPr="006D4975">
          <w:rPr>
            <w:rStyle w:val="Hipercze"/>
            <w:noProof/>
            <w:sz w:val="22"/>
          </w:rPr>
          <w:t xml:space="preserve"> </w:t>
        </w:r>
        <w:r w:rsidR="006D4975" w:rsidRPr="006D4975">
          <w:rPr>
            <w:rStyle w:val="Hipercze"/>
            <w:rFonts w:ascii="Calibri" w:hAnsi="Calibri"/>
            <w:noProof/>
            <w:sz w:val="22"/>
          </w:rPr>
          <w:t>Średnia oceny, czy to, że w mieście jest dużo miejsc do wypoczynku,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_Toc315790525 \h </w:instrText>
        </w:r>
        <w:r w:rsidRPr="006D4975">
          <w:rPr>
            <w:noProof/>
            <w:webHidden/>
            <w:sz w:val="22"/>
          </w:rPr>
        </w:r>
        <w:r w:rsidRPr="006D4975">
          <w:rPr>
            <w:noProof/>
            <w:webHidden/>
            <w:sz w:val="22"/>
          </w:rPr>
          <w:fldChar w:fldCharType="separate"/>
        </w:r>
        <w:r w:rsidR="009E4FA2">
          <w:rPr>
            <w:noProof/>
            <w:webHidden/>
            <w:sz w:val="22"/>
          </w:rPr>
          <w:t>62</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6" w:history="1">
        <w:r w:rsidR="006D4975" w:rsidRPr="006D4975">
          <w:rPr>
            <w:rStyle w:val="Hipercze"/>
            <w:rFonts w:ascii="Calibri" w:hAnsi="Calibri"/>
            <w:noProof/>
            <w:sz w:val="22"/>
          </w:rPr>
          <w:t>Wykres 57.</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łatwo można skorzystać z porady lekarskiej.</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_Toc315790526 \h </w:instrText>
        </w:r>
        <w:r w:rsidRPr="006D4975">
          <w:rPr>
            <w:noProof/>
            <w:webHidden/>
            <w:sz w:val="22"/>
          </w:rPr>
        </w:r>
        <w:r w:rsidRPr="006D4975">
          <w:rPr>
            <w:noProof/>
            <w:webHidden/>
            <w:sz w:val="22"/>
          </w:rPr>
          <w:fldChar w:fldCharType="separate"/>
        </w:r>
        <w:r w:rsidR="009E4FA2">
          <w:rPr>
            <w:noProof/>
            <w:webHidden/>
            <w:sz w:val="22"/>
          </w:rPr>
          <w:t>64</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7" w:history="1">
        <w:r w:rsidR="006D4975" w:rsidRPr="006D4975">
          <w:rPr>
            <w:rStyle w:val="Hipercze"/>
            <w:rFonts w:ascii="Calibri" w:hAnsi="Calibri"/>
            <w:noProof/>
            <w:sz w:val="22"/>
          </w:rPr>
          <w:t>Wykres 58.</w:t>
        </w:r>
        <w:r w:rsidR="006D4975" w:rsidRPr="006D4975">
          <w:rPr>
            <w:rStyle w:val="Hipercze"/>
            <w:noProof/>
            <w:sz w:val="22"/>
          </w:rPr>
          <w:t xml:space="preserve"> </w:t>
        </w:r>
        <w:r w:rsidR="006D4975" w:rsidRPr="006D4975">
          <w:rPr>
            <w:rStyle w:val="Hipercze"/>
            <w:rFonts w:ascii="Calibri" w:hAnsi="Calibri"/>
            <w:noProof/>
            <w:sz w:val="22"/>
          </w:rPr>
          <w:t>Średnia oceny, czy dostęp do porady lekarskiej w mieście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_Toc315790527 \h </w:instrText>
        </w:r>
        <w:r w:rsidRPr="006D4975">
          <w:rPr>
            <w:noProof/>
            <w:webHidden/>
            <w:sz w:val="22"/>
          </w:rPr>
        </w:r>
        <w:r w:rsidRPr="006D4975">
          <w:rPr>
            <w:noProof/>
            <w:webHidden/>
            <w:sz w:val="22"/>
          </w:rPr>
          <w:fldChar w:fldCharType="separate"/>
        </w:r>
        <w:r w:rsidR="009E4FA2">
          <w:rPr>
            <w:noProof/>
            <w:webHidden/>
            <w:sz w:val="22"/>
          </w:rPr>
          <w:t>65</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8" w:history="1">
        <w:r w:rsidR="006D4975" w:rsidRPr="006D4975">
          <w:rPr>
            <w:rStyle w:val="Hipercze"/>
            <w:rFonts w:ascii="Calibri" w:hAnsi="Calibri"/>
            <w:noProof/>
            <w:sz w:val="22"/>
          </w:rPr>
          <w:t>Wykres 59.</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czują się bezpiecznie.</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_Toc315790528 \h </w:instrText>
        </w:r>
        <w:r w:rsidRPr="006D4975">
          <w:rPr>
            <w:noProof/>
            <w:webHidden/>
            <w:sz w:val="22"/>
          </w:rPr>
        </w:r>
        <w:r w:rsidRPr="006D4975">
          <w:rPr>
            <w:noProof/>
            <w:webHidden/>
            <w:sz w:val="22"/>
          </w:rPr>
          <w:fldChar w:fldCharType="separate"/>
        </w:r>
        <w:r w:rsidR="009E4FA2">
          <w:rPr>
            <w:noProof/>
            <w:webHidden/>
            <w:sz w:val="22"/>
          </w:rPr>
          <w:t>68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29" w:history="1">
        <w:r w:rsidR="006D4975" w:rsidRPr="006D4975">
          <w:rPr>
            <w:rStyle w:val="Hipercze"/>
            <w:rFonts w:ascii="Calibri" w:hAnsi="Calibri"/>
            <w:noProof/>
            <w:sz w:val="22"/>
          </w:rPr>
          <w:t>Wykres 60.</w:t>
        </w:r>
        <w:r w:rsidR="006D4975" w:rsidRPr="006D4975">
          <w:rPr>
            <w:rStyle w:val="Hipercze"/>
            <w:noProof/>
            <w:sz w:val="22"/>
          </w:rPr>
          <w:t xml:space="preserve"> </w:t>
        </w:r>
        <w:r w:rsidR="006D4975" w:rsidRPr="006D4975">
          <w:rPr>
            <w:rStyle w:val="Hipercze"/>
            <w:rFonts w:ascii="Calibri" w:hAnsi="Calibri"/>
            <w:noProof/>
            <w:sz w:val="22"/>
          </w:rPr>
          <w:t>Średnia oceny, czy poczucie bezpieczeństwa w mieście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_Toc315790529 \h </w:instrText>
        </w:r>
        <w:r w:rsidRPr="006D4975">
          <w:rPr>
            <w:noProof/>
            <w:webHidden/>
            <w:sz w:val="22"/>
          </w:rPr>
        </w:r>
        <w:r w:rsidRPr="006D4975">
          <w:rPr>
            <w:noProof/>
            <w:webHidden/>
            <w:sz w:val="22"/>
          </w:rPr>
          <w:fldChar w:fldCharType="separate"/>
        </w:r>
        <w:r w:rsidR="009E4FA2">
          <w:rPr>
            <w:noProof/>
            <w:webHidden/>
            <w:sz w:val="22"/>
          </w:rPr>
          <w:t>68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0" w:history="1">
        <w:r w:rsidR="006D4975" w:rsidRPr="006D4975">
          <w:rPr>
            <w:rStyle w:val="Hipercze"/>
            <w:rFonts w:ascii="Calibri" w:hAnsi="Calibri"/>
            <w:noProof/>
            <w:sz w:val="22"/>
          </w:rPr>
          <w:t>Wykres 61.</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mieście jest ładnie, panuje tu ogólny ład przestrzenny, budynki są zadbane i mają wartościową estetykę</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_Toc315790530 \h </w:instrText>
        </w:r>
        <w:r w:rsidRPr="006D4975">
          <w:rPr>
            <w:noProof/>
            <w:webHidden/>
            <w:sz w:val="22"/>
          </w:rPr>
        </w:r>
        <w:r w:rsidRPr="006D4975">
          <w:rPr>
            <w:noProof/>
            <w:webHidden/>
            <w:sz w:val="22"/>
          </w:rPr>
          <w:fldChar w:fldCharType="separate"/>
        </w:r>
        <w:r w:rsidR="009E4FA2">
          <w:rPr>
            <w:noProof/>
            <w:webHidden/>
            <w:sz w:val="22"/>
          </w:rPr>
          <w:t>71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1" w:history="1">
        <w:r w:rsidR="006D4975" w:rsidRPr="006D4975">
          <w:rPr>
            <w:rStyle w:val="Hipercze"/>
            <w:rFonts w:ascii="Calibri" w:hAnsi="Calibri"/>
            <w:noProof/>
            <w:sz w:val="22"/>
          </w:rPr>
          <w:t>Wykres 62.</w:t>
        </w:r>
        <w:r w:rsidR="006D4975" w:rsidRPr="006D4975">
          <w:rPr>
            <w:rStyle w:val="Hipercze"/>
            <w:noProof/>
            <w:sz w:val="22"/>
          </w:rPr>
          <w:t xml:space="preserve"> </w:t>
        </w:r>
        <w:r w:rsidR="006D4975" w:rsidRPr="006D4975">
          <w:rPr>
            <w:rStyle w:val="Hipercze"/>
            <w:rFonts w:ascii="Calibri" w:hAnsi="Calibri"/>
            <w:noProof/>
            <w:sz w:val="22"/>
          </w:rPr>
          <w:t>Średnia oceny, czy estetyka miasta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_Toc315790531 \h </w:instrText>
        </w:r>
        <w:r w:rsidRPr="006D4975">
          <w:rPr>
            <w:noProof/>
            <w:webHidden/>
            <w:sz w:val="22"/>
          </w:rPr>
        </w:r>
        <w:r w:rsidRPr="006D4975">
          <w:rPr>
            <w:noProof/>
            <w:webHidden/>
            <w:sz w:val="22"/>
          </w:rPr>
          <w:fldChar w:fldCharType="separate"/>
        </w:r>
        <w:r w:rsidR="009E4FA2">
          <w:rPr>
            <w:noProof/>
            <w:webHidden/>
            <w:sz w:val="22"/>
          </w:rPr>
          <w:t>71</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2" w:history="1">
        <w:r w:rsidR="006D4975" w:rsidRPr="006D4975">
          <w:rPr>
            <w:rStyle w:val="Hipercze"/>
            <w:rFonts w:ascii="Calibri" w:hAnsi="Calibri"/>
            <w:noProof/>
            <w:sz w:val="22"/>
          </w:rPr>
          <w:t>Wykres 63.</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mieszkańcy innych części Polski dobrze postrzegają moje miasto.</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_Toc315790532 \h </w:instrText>
        </w:r>
        <w:r w:rsidRPr="006D4975">
          <w:rPr>
            <w:noProof/>
            <w:webHidden/>
            <w:sz w:val="22"/>
          </w:rPr>
        </w:r>
        <w:r w:rsidRPr="006D4975">
          <w:rPr>
            <w:noProof/>
            <w:webHidden/>
            <w:sz w:val="22"/>
          </w:rPr>
          <w:fldChar w:fldCharType="separate"/>
        </w:r>
        <w:r w:rsidR="009E4FA2">
          <w:rPr>
            <w:noProof/>
            <w:webHidden/>
            <w:sz w:val="22"/>
          </w:rPr>
          <w:t>87</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3" w:history="1">
        <w:r w:rsidR="006D4975" w:rsidRPr="006D4975">
          <w:rPr>
            <w:rStyle w:val="Hipercze"/>
            <w:rFonts w:ascii="Calibri" w:hAnsi="Calibri"/>
            <w:noProof/>
            <w:sz w:val="22"/>
          </w:rPr>
          <w:t>Wykres 64.</w:t>
        </w:r>
        <w:r w:rsidR="006D4975" w:rsidRPr="006D4975">
          <w:rPr>
            <w:rStyle w:val="Hipercze"/>
            <w:noProof/>
            <w:sz w:val="22"/>
          </w:rPr>
          <w:t xml:space="preserve"> </w:t>
        </w:r>
        <w:r w:rsidR="006D4975" w:rsidRPr="006D4975">
          <w:rPr>
            <w:rStyle w:val="Hipercze"/>
            <w:rFonts w:ascii="Calibri" w:hAnsi="Calibri"/>
            <w:noProof/>
            <w:sz w:val="22"/>
          </w:rPr>
          <w:t>Średnia oceny, czy postrzeganie miasta przez mieszkańców innych części Polski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_Toc315790533 \h </w:instrText>
        </w:r>
        <w:r w:rsidRPr="006D4975">
          <w:rPr>
            <w:noProof/>
            <w:webHidden/>
            <w:sz w:val="22"/>
          </w:rPr>
        </w:r>
        <w:r w:rsidRPr="006D4975">
          <w:rPr>
            <w:noProof/>
            <w:webHidden/>
            <w:sz w:val="22"/>
          </w:rPr>
          <w:fldChar w:fldCharType="separate"/>
        </w:r>
        <w:r w:rsidR="009E4FA2">
          <w:rPr>
            <w:noProof/>
            <w:webHidden/>
            <w:sz w:val="22"/>
          </w:rPr>
          <w:t>87</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4" w:history="1">
        <w:r w:rsidR="006D4975" w:rsidRPr="006D4975">
          <w:rPr>
            <w:rStyle w:val="Hipercze"/>
            <w:rFonts w:ascii="Calibri" w:hAnsi="Calibri"/>
            <w:noProof/>
            <w:sz w:val="22"/>
          </w:rPr>
          <w:t>Wykres 65.</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w urzędach w mieście można wszystko łatwo i szybko załatwić</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_Toc315790534 \h </w:instrText>
        </w:r>
        <w:r w:rsidRPr="006D4975">
          <w:rPr>
            <w:noProof/>
            <w:webHidden/>
            <w:sz w:val="22"/>
          </w:rPr>
        </w:r>
        <w:r w:rsidRPr="006D4975">
          <w:rPr>
            <w:noProof/>
            <w:webHidden/>
            <w:sz w:val="22"/>
          </w:rPr>
          <w:fldChar w:fldCharType="separate"/>
        </w:r>
        <w:r w:rsidR="009E4FA2">
          <w:rPr>
            <w:noProof/>
            <w:webHidden/>
            <w:sz w:val="22"/>
          </w:rPr>
          <w:t>88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5" w:history="1">
        <w:r w:rsidR="006D4975" w:rsidRPr="006D4975">
          <w:rPr>
            <w:rStyle w:val="Hipercze"/>
            <w:rFonts w:ascii="Calibri" w:hAnsi="Calibri"/>
            <w:noProof/>
            <w:sz w:val="22"/>
          </w:rPr>
          <w:t>Wykres 66.</w:t>
        </w:r>
        <w:r w:rsidR="006D4975" w:rsidRPr="006D4975">
          <w:rPr>
            <w:rStyle w:val="Hipercze"/>
            <w:noProof/>
            <w:sz w:val="22"/>
          </w:rPr>
          <w:t xml:space="preserve"> </w:t>
        </w:r>
        <w:r w:rsidR="006D4975" w:rsidRPr="006D4975">
          <w:rPr>
            <w:rStyle w:val="Hipercze"/>
            <w:rFonts w:ascii="Calibri" w:hAnsi="Calibri"/>
            <w:noProof/>
            <w:sz w:val="22"/>
          </w:rPr>
          <w:t>Średnia oceny, czy jakość załatwiania spraw w urzędach w mieście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_Toc315790535 \h </w:instrText>
        </w:r>
        <w:r w:rsidRPr="006D4975">
          <w:rPr>
            <w:noProof/>
            <w:webHidden/>
            <w:sz w:val="22"/>
          </w:rPr>
        </w:r>
        <w:r w:rsidRPr="006D4975">
          <w:rPr>
            <w:noProof/>
            <w:webHidden/>
            <w:sz w:val="22"/>
          </w:rPr>
          <w:fldChar w:fldCharType="separate"/>
        </w:r>
        <w:r w:rsidR="009E4FA2">
          <w:rPr>
            <w:noProof/>
            <w:webHidden/>
            <w:sz w:val="22"/>
          </w:rPr>
          <w:t>88</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6" w:history="1">
        <w:r w:rsidR="006D4975" w:rsidRPr="006D4975">
          <w:rPr>
            <w:rStyle w:val="Hipercze"/>
            <w:rFonts w:ascii="Calibri" w:hAnsi="Calibri"/>
            <w:noProof/>
            <w:sz w:val="22"/>
          </w:rPr>
          <w:t>Wykres 67.</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czują więź z innymi mieszkańcami.</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_Toc315790536 \h </w:instrText>
        </w:r>
        <w:r w:rsidRPr="006D4975">
          <w:rPr>
            <w:noProof/>
            <w:webHidden/>
            <w:sz w:val="22"/>
          </w:rPr>
        </w:r>
        <w:r w:rsidRPr="006D4975">
          <w:rPr>
            <w:noProof/>
            <w:webHidden/>
            <w:sz w:val="22"/>
          </w:rPr>
          <w:fldChar w:fldCharType="separate"/>
        </w:r>
        <w:r w:rsidR="009E4FA2">
          <w:rPr>
            <w:noProof/>
            <w:webHidden/>
            <w:sz w:val="22"/>
          </w:rPr>
          <w:t>89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7" w:history="1">
        <w:r w:rsidR="006D4975" w:rsidRPr="006D4975">
          <w:rPr>
            <w:rStyle w:val="Hipercze"/>
            <w:rFonts w:ascii="Calibri" w:hAnsi="Calibri"/>
            <w:noProof/>
            <w:sz w:val="22"/>
          </w:rPr>
          <w:t>Wykres 68.</w:t>
        </w:r>
        <w:r w:rsidR="006D4975" w:rsidRPr="006D4975">
          <w:rPr>
            <w:rStyle w:val="Hipercze"/>
            <w:noProof/>
            <w:sz w:val="22"/>
          </w:rPr>
          <w:t xml:space="preserve"> </w:t>
        </w:r>
        <w:r w:rsidR="006D4975" w:rsidRPr="006D4975">
          <w:rPr>
            <w:rStyle w:val="Hipercze"/>
            <w:rFonts w:ascii="Calibri" w:hAnsi="Calibri"/>
            <w:noProof/>
            <w:sz w:val="22"/>
          </w:rPr>
          <w:t>Średnia oceny, czy poczucie więzi z mieszkańcami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_Toc315790537 \h </w:instrText>
        </w:r>
        <w:r w:rsidRPr="006D4975">
          <w:rPr>
            <w:noProof/>
            <w:webHidden/>
            <w:sz w:val="22"/>
          </w:rPr>
        </w:r>
        <w:r w:rsidRPr="006D4975">
          <w:rPr>
            <w:noProof/>
            <w:webHidden/>
            <w:sz w:val="22"/>
          </w:rPr>
          <w:fldChar w:fldCharType="separate"/>
        </w:r>
        <w:r w:rsidR="009E4FA2">
          <w:rPr>
            <w:noProof/>
            <w:webHidden/>
            <w:sz w:val="22"/>
          </w:rPr>
          <w:t>89</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8" w:history="1">
        <w:r w:rsidR="006D4975" w:rsidRPr="006D4975">
          <w:rPr>
            <w:rStyle w:val="Hipercze"/>
            <w:rFonts w:ascii="Calibri" w:hAnsi="Calibri"/>
            <w:noProof/>
            <w:sz w:val="22"/>
          </w:rPr>
          <w:t>Wykres 69.</w:t>
        </w:r>
        <w:r w:rsidR="006D4975" w:rsidRPr="006D4975">
          <w:rPr>
            <w:rStyle w:val="Hipercze"/>
            <w:noProof/>
            <w:sz w:val="22"/>
          </w:rPr>
          <w:t xml:space="preserve"> </w:t>
        </w:r>
        <w:r w:rsidR="006D4975" w:rsidRPr="006D4975">
          <w:rPr>
            <w:rStyle w:val="Hipercze"/>
            <w:rFonts w:ascii="Calibri" w:hAnsi="Calibri"/>
            <w:noProof/>
            <w:sz w:val="22"/>
          </w:rPr>
          <w:t>Rozkład odpowiedzi na pytanie, czy mieszkańcy zgadzają się z twierdzeniem, że media działające na terenie miasta dostarczają im wszystkich potrzebnych informacji o mieście</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_Toc315790538 \h </w:instrText>
        </w:r>
        <w:r w:rsidRPr="006D4975">
          <w:rPr>
            <w:noProof/>
            <w:webHidden/>
            <w:sz w:val="22"/>
          </w:rPr>
        </w:r>
        <w:r w:rsidRPr="006D4975">
          <w:rPr>
            <w:noProof/>
            <w:webHidden/>
            <w:sz w:val="22"/>
          </w:rPr>
          <w:fldChar w:fldCharType="separate"/>
        </w:r>
        <w:r w:rsidR="009E4FA2">
          <w:rPr>
            <w:noProof/>
            <w:webHidden/>
            <w:sz w:val="22"/>
          </w:rPr>
          <w:t>90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39" w:history="1">
        <w:r w:rsidR="006D4975" w:rsidRPr="006D4975">
          <w:rPr>
            <w:rStyle w:val="Hipercze"/>
            <w:rFonts w:ascii="Calibri" w:hAnsi="Calibri"/>
            <w:noProof/>
            <w:sz w:val="22"/>
          </w:rPr>
          <w:t>Wykres 70.</w:t>
        </w:r>
        <w:r w:rsidR="006D4975" w:rsidRPr="006D4975">
          <w:rPr>
            <w:rStyle w:val="Hipercze"/>
            <w:noProof/>
            <w:sz w:val="22"/>
          </w:rPr>
          <w:t xml:space="preserve"> </w:t>
        </w:r>
        <w:r w:rsidR="006D4975" w:rsidRPr="006D4975">
          <w:rPr>
            <w:rStyle w:val="Hipercze"/>
            <w:rFonts w:ascii="Calibri" w:hAnsi="Calibri"/>
            <w:noProof/>
            <w:sz w:val="22"/>
          </w:rPr>
          <w:t>Średnia oceny, czy jakość mediów działających na terenie miasta ma znaczenie w atrakcyjności miasta jako miejsca zamieszkania.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_Toc315790539 \h </w:instrText>
        </w:r>
        <w:r w:rsidRPr="006D4975">
          <w:rPr>
            <w:noProof/>
            <w:webHidden/>
            <w:sz w:val="22"/>
          </w:rPr>
        </w:r>
        <w:r w:rsidRPr="006D4975">
          <w:rPr>
            <w:noProof/>
            <w:webHidden/>
            <w:sz w:val="22"/>
          </w:rPr>
          <w:fldChar w:fldCharType="separate"/>
        </w:r>
        <w:r w:rsidR="009E4FA2">
          <w:rPr>
            <w:noProof/>
            <w:webHidden/>
            <w:sz w:val="22"/>
          </w:rPr>
          <w:t>90</w:t>
        </w:r>
        <w:r w:rsidRPr="006D4975">
          <w:rPr>
            <w:noProof/>
            <w:webHidden/>
            <w:sz w:val="22"/>
          </w:rPr>
          <w:fldChar w:fldCharType="end"/>
        </w:r>
      </w:hyperlink>
    </w:p>
    <w:p w:rsidR="006D4975" w:rsidRPr="006D4975" w:rsidRDefault="005433B6">
      <w:pPr>
        <w:pStyle w:val="Spisilustracji"/>
        <w:tabs>
          <w:tab w:val="right" w:leader="dot" w:pos="9062"/>
        </w:tabs>
        <w:rPr>
          <w:rFonts w:asciiTheme="minorHAnsi" w:eastAsiaTheme="minorEastAsia" w:hAnsiTheme="minorHAnsi" w:cstheme="minorBidi"/>
          <w:noProof/>
          <w:sz w:val="20"/>
          <w:szCs w:val="22"/>
        </w:rPr>
      </w:pPr>
      <w:hyperlink w:anchor="_Toc315790540" w:history="1">
        <w:r w:rsidR="006D4975" w:rsidRPr="006D4975">
          <w:rPr>
            <w:rStyle w:val="Hipercze"/>
            <w:rFonts w:ascii="Calibri" w:hAnsi="Calibri"/>
            <w:noProof/>
            <w:sz w:val="22"/>
          </w:rPr>
          <w:t>Wykres 71. Rozkład odpowiedzi na pytanie o rozpoznawalność Lubuskiego Trójmiasta.</w:t>
        </w:r>
        <w:r w:rsidR="006D4975" w:rsidRPr="006D4975">
          <w:rPr>
            <w:noProof/>
            <w:webHidden/>
            <w:sz w:val="22"/>
          </w:rPr>
          <w:tab/>
        </w:r>
        <w:r w:rsidRPr="006D4975">
          <w:rPr>
            <w:noProof/>
            <w:webHidden/>
            <w:sz w:val="22"/>
          </w:rPr>
          <w:fldChar w:fldCharType="begin"/>
        </w:r>
        <w:r w:rsidR="006D4975" w:rsidRPr="006D4975">
          <w:rPr>
            <w:noProof/>
            <w:webHidden/>
            <w:sz w:val="22"/>
          </w:rPr>
          <w:instrText xml:space="preserve"> PAGEREF _Toc315790540 \h </w:instrText>
        </w:r>
        <w:r w:rsidRPr="006D4975">
          <w:rPr>
            <w:noProof/>
            <w:webHidden/>
            <w:sz w:val="22"/>
          </w:rPr>
        </w:r>
        <w:r w:rsidRPr="006D4975">
          <w:rPr>
            <w:noProof/>
            <w:webHidden/>
            <w:sz w:val="22"/>
          </w:rPr>
          <w:fldChar w:fldCharType="separate"/>
        </w:r>
        <w:r w:rsidR="009E4FA2">
          <w:rPr>
            <w:noProof/>
            <w:webHidden/>
            <w:sz w:val="22"/>
          </w:rPr>
          <w:t>95</w:t>
        </w:r>
        <w:r w:rsidRPr="006D4975">
          <w:rPr>
            <w:noProof/>
            <w:webHidden/>
            <w:sz w:val="22"/>
          </w:rPr>
          <w:fldChar w:fldCharType="end"/>
        </w:r>
      </w:hyperlink>
    </w:p>
    <w:p w:rsidR="006D4975" w:rsidRPr="00662F03" w:rsidRDefault="005433B6" w:rsidP="004E5A9A">
      <w:pPr>
        <w:shd w:val="clear" w:color="auto" w:fill="FFFFFF"/>
        <w:spacing w:before="150" w:after="75"/>
        <w:jc w:val="both"/>
        <w:outlineLvl w:val="3"/>
        <w:rPr>
          <w:rFonts w:ascii="Calibri" w:hAnsi="Calibri" w:cs="Tahoma"/>
          <w:color w:val="333333"/>
          <w:sz w:val="22"/>
          <w:szCs w:val="22"/>
        </w:rPr>
      </w:pPr>
      <w:r w:rsidRPr="006D4975">
        <w:rPr>
          <w:rFonts w:ascii="Calibri" w:hAnsi="Calibri" w:cs="Tahoma"/>
          <w:color w:val="333333"/>
          <w:sz w:val="20"/>
          <w:szCs w:val="22"/>
        </w:rPr>
        <w:fldChar w:fldCharType="end"/>
      </w:r>
    </w:p>
    <w:sectPr w:rsidR="006D4975" w:rsidRPr="00662F03" w:rsidSect="005456B3">
      <w:type w:val="continuous"/>
      <w:pgSz w:w="11906" w:h="16838"/>
      <w:pgMar w:top="1098"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76" w:rsidRDefault="00A97776">
      <w:r>
        <w:separator/>
      </w:r>
    </w:p>
  </w:endnote>
  <w:endnote w:type="continuationSeparator" w:id="1">
    <w:p w:rsidR="00A97776" w:rsidRDefault="00A977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Tahom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20000287" w:usb1="00000000" w:usb2="00000000" w:usb3="00000000" w:csb0="0000019F" w:csb1="00000000"/>
  </w:font>
  <w:font w:name="Helvetica">
    <w:panose1 w:val="020B0604020202030204"/>
    <w:charset w:val="EE"/>
    <w:family w:val="swiss"/>
    <w:pitch w:val="variable"/>
    <w:sig w:usb0="00000007" w:usb1="00000000" w:usb2="00000000" w:usb3="00000000" w:csb0="00000093" w:csb1="00000000"/>
  </w:font>
  <w:font w:name="MyriadPro-Regular">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64" w:rsidRPr="005A1736" w:rsidRDefault="00D24064" w:rsidP="00F8534C">
    <w:pPr>
      <w:pStyle w:val="Stopka"/>
      <w:jc w:val="right"/>
      <w:rPr>
        <w:rFonts w:ascii="Calibri" w:hAnsi="Calibri"/>
        <w:sz w:val="20"/>
        <w:szCs w:val="20"/>
      </w:rPr>
    </w:pPr>
    <w:r>
      <w:rPr>
        <w:rFonts w:ascii="Calibri" w:hAnsi="Calibri"/>
        <w:noProof/>
        <w:sz w:val="20"/>
        <w:szCs w:val="20"/>
      </w:rPr>
      <w:pict>
        <v:line id="_x0000_s2056" style="position:absolute;left:0;text-align:left;z-index:251656192" from="0,-8.4pt" to="459pt,-8.4pt" strokecolor="#002867" strokeweight="1.75pt"/>
      </w:pict>
    </w:r>
    <w:r>
      <w:rPr>
        <w:rFonts w:ascii="Calibri" w:hAnsi="Calibri"/>
        <w:noProof/>
        <w:sz w:val="20"/>
        <w:szCs w:val="20"/>
      </w:rPr>
      <w:drawing>
        <wp:anchor distT="0" distB="0" distL="114300" distR="114300" simplePos="0" relativeHeight="251657216" behindDoc="0" locked="0" layoutInCell="1" allowOverlap="1">
          <wp:simplePos x="0" y="0"/>
          <wp:positionH relativeFrom="column">
            <wp:align>left</wp:align>
          </wp:positionH>
          <wp:positionV relativeFrom="paragraph">
            <wp:posOffset>-10795</wp:posOffset>
          </wp:positionV>
          <wp:extent cx="1400175" cy="295275"/>
          <wp:effectExtent l="19050" t="0" r="9525" b="0"/>
          <wp:wrapSquare wrapText="bothSides"/>
          <wp:docPr id="23" name="Obraz 9" descr="LiderProjekt_logotyp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iderProjekt_logotyp CMYK"/>
                  <pic:cNvPicPr>
                    <a:picLocks noChangeAspect="1" noChangeArrowheads="1"/>
                  </pic:cNvPicPr>
                </pic:nvPicPr>
                <pic:blipFill>
                  <a:blip r:embed="rId1"/>
                  <a:srcRect/>
                  <a:stretch>
                    <a:fillRect/>
                  </a:stretch>
                </pic:blipFill>
                <pic:spPr bwMode="auto">
                  <a:xfrm>
                    <a:off x="0" y="0"/>
                    <a:ext cx="1400175" cy="295275"/>
                  </a:xfrm>
                  <a:prstGeom prst="rect">
                    <a:avLst/>
                  </a:prstGeom>
                  <a:noFill/>
                  <a:ln w="9525">
                    <a:noFill/>
                    <a:miter lim="800000"/>
                    <a:headEnd/>
                    <a:tailEnd/>
                  </a:ln>
                </pic:spPr>
              </pic:pic>
            </a:graphicData>
          </a:graphic>
        </wp:anchor>
      </w:drawing>
    </w:r>
    <w:r w:rsidRPr="005A1736">
      <w:rPr>
        <w:rFonts w:ascii="Calibri" w:hAnsi="Calibri"/>
        <w:sz w:val="20"/>
        <w:szCs w:val="20"/>
      </w:rPr>
      <w:fldChar w:fldCharType="begin"/>
    </w:r>
    <w:r w:rsidRPr="005A1736">
      <w:rPr>
        <w:rFonts w:ascii="Calibri" w:hAnsi="Calibri"/>
        <w:sz w:val="20"/>
        <w:szCs w:val="20"/>
      </w:rPr>
      <w:instrText xml:space="preserve"> PAGE   \* MERGEFORMAT </w:instrText>
    </w:r>
    <w:r w:rsidRPr="005A1736">
      <w:rPr>
        <w:rFonts w:ascii="Calibri" w:hAnsi="Calibri"/>
        <w:sz w:val="20"/>
        <w:szCs w:val="20"/>
      </w:rPr>
      <w:fldChar w:fldCharType="separate"/>
    </w:r>
    <w:r w:rsidR="008D0B5E">
      <w:rPr>
        <w:rFonts w:ascii="Calibri" w:hAnsi="Calibri"/>
        <w:noProof/>
        <w:sz w:val="20"/>
        <w:szCs w:val="20"/>
      </w:rPr>
      <w:t>85</w:t>
    </w:r>
    <w:r w:rsidRPr="005A1736">
      <w:rPr>
        <w:rFonts w:ascii="Calibri" w:hAnsi="Calibri"/>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64" w:rsidRDefault="00D24064" w:rsidP="00D664DB">
    <w:pPr>
      <w:pStyle w:val="Stopka"/>
      <w:jc w:val="center"/>
    </w:pPr>
    <w:r>
      <w:rPr>
        <w:noProof/>
      </w:rPr>
      <w:drawing>
        <wp:inline distT="0" distB="0" distL="0" distR="0">
          <wp:extent cx="1403350" cy="297815"/>
          <wp:effectExtent l="19050" t="0" r="6350" b="0"/>
          <wp:docPr id="100" name="Obraz 7" descr="LiderProjekt_logotyp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iderProjekt_logotyp CMYK"/>
                  <pic:cNvPicPr>
                    <a:picLocks noChangeAspect="1" noChangeArrowheads="1"/>
                  </pic:cNvPicPr>
                </pic:nvPicPr>
                <pic:blipFill>
                  <a:blip r:embed="rId1"/>
                  <a:srcRect/>
                  <a:stretch>
                    <a:fillRect/>
                  </a:stretch>
                </pic:blipFill>
                <pic:spPr bwMode="auto">
                  <a:xfrm>
                    <a:off x="0" y="0"/>
                    <a:ext cx="1403350" cy="29781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76" w:rsidRDefault="00A97776">
      <w:r>
        <w:separator/>
      </w:r>
    </w:p>
  </w:footnote>
  <w:footnote w:type="continuationSeparator" w:id="1">
    <w:p w:rsidR="00A97776" w:rsidRDefault="00A97776">
      <w:r>
        <w:continuationSeparator/>
      </w:r>
    </w:p>
  </w:footnote>
  <w:footnote w:id="2">
    <w:p w:rsidR="00D24064" w:rsidRPr="00662F03" w:rsidRDefault="00D24064">
      <w:pPr>
        <w:pStyle w:val="Tekstprzypisudolnego"/>
        <w:rPr>
          <w:rFonts w:ascii="Calibri" w:hAnsi="Calibri"/>
          <w:sz w:val="18"/>
        </w:rPr>
      </w:pPr>
      <w:r w:rsidRPr="00662F03">
        <w:rPr>
          <w:rStyle w:val="Odwoanieprzypisudolnego"/>
          <w:rFonts w:ascii="Calibri" w:hAnsi="Calibri"/>
          <w:sz w:val="18"/>
        </w:rPr>
        <w:footnoteRef/>
      </w:r>
      <w:r w:rsidRPr="00662F03">
        <w:rPr>
          <w:rFonts w:ascii="Calibri" w:hAnsi="Calibri"/>
          <w:sz w:val="18"/>
        </w:rPr>
        <w:t xml:space="preserve"> W jednostkach o liczbie pracujących powyżej 9 osób; łącznie z pracującymi w gospodarstwach indywidualnych w rolnictwie (dane szacunkowe).</w:t>
      </w:r>
    </w:p>
  </w:footnote>
  <w:footnote w:id="3">
    <w:p w:rsidR="00D24064" w:rsidRDefault="00D24064" w:rsidP="00C0781D">
      <w:pPr>
        <w:pStyle w:val="Tekstprzypisudolnego"/>
        <w:jc w:val="both"/>
      </w:pPr>
      <w:r w:rsidRPr="00451408">
        <w:rPr>
          <w:rStyle w:val="Odwoanieprzypisudolnego"/>
          <w:rFonts w:asciiTheme="minorHAnsi" w:hAnsiTheme="minorHAnsi"/>
        </w:rPr>
        <w:footnoteRef/>
      </w:r>
      <w:r w:rsidRPr="00451408">
        <w:rPr>
          <w:rFonts w:asciiTheme="minorHAnsi" w:hAnsiTheme="minorHAnsi"/>
        </w:rPr>
        <w:t xml:space="preserve"> </w:t>
      </w:r>
      <w:r w:rsidRPr="00451408">
        <w:rPr>
          <w:rFonts w:asciiTheme="minorHAnsi" w:hAnsiTheme="minorHAnsi"/>
          <w:sz w:val="18"/>
        </w:rPr>
        <w:t>Badane były przepływy osób zatrudnionych na podstawie stosunku pracy według stanu w dniu 31 XII 2006. W badaniu za dojeżdżającego do pracy uważa się osobę spełniającą następujący warunek: gmina zamieszkania różna od gminy miejsca</w:t>
      </w:r>
      <w:r w:rsidRPr="00C77E63">
        <w:rPr>
          <w:sz w:val="18"/>
        </w:rPr>
        <w:t xml:space="preserve"> </w:t>
      </w:r>
      <w:r w:rsidRPr="00451408">
        <w:rPr>
          <w:rFonts w:asciiTheme="minorHAnsi" w:hAnsiTheme="minorHAnsi"/>
          <w:sz w:val="18"/>
        </w:rPr>
        <w:t>pracy oraz podwyższone koszty uzyskania przychodu z tytułu dojazdów do pracy. Z uwagi na metodykę badania oraz jego eksperymentalny charakter - wartości liczbowe należy traktować jako szacunkowe.</w:t>
      </w:r>
    </w:p>
  </w:footnote>
  <w:footnote w:id="4">
    <w:p w:rsidR="00D24064" w:rsidRDefault="00D24064">
      <w:pPr>
        <w:pStyle w:val="Tekstprzypisudolnego"/>
      </w:pPr>
      <w:r>
        <w:rPr>
          <w:rStyle w:val="Odwoanieprzypisudolnego"/>
        </w:rPr>
        <w:footnoteRef/>
      </w:r>
      <w:r>
        <w:t xml:space="preserve"> </w:t>
      </w:r>
      <w:r w:rsidRPr="00602164">
        <w:rPr>
          <w:rFonts w:asciiTheme="minorHAnsi" w:hAnsiTheme="minorHAnsi"/>
          <w:sz w:val="18"/>
        </w:rPr>
        <w:t>Opracowanie wykonane na zlecenie Powiatowego Urzędu Pracy w Nowej Soli</w:t>
      </w:r>
      <w:r>
        <w:rPr>
          <w:rFonts w:asciiTheme="minorHAnsi" w:hAnsiTheme="minorHAnsi"/>
          <w:sz w:val="18"/>
        </w:rPr>
        <w:t xml:space="preserve"> w 2011 r</w:t>
      </w:r>
      <w:r w:rsidRPr="00602164">
        <w:rPr>
          <w:rFonts w:asciiTheme="minorHAnsi" w:hAnsiTheme="minorHAnsi"/>
          <w:sz w:val="18"/>
        </w:rPr>
        <w:t>.</w:t>
      </w:r>
    </w:p>
  </w:footnote>
  <w:footnote w:id="5">
    <w:p w:rsidR="00D24064" w:rsidRPr="00662F03" w:rsidRDefault="00D24064" w:rsidP="009C019F">
      <w:pPr>
        <w:pStyle w:val="Tekstprzypisudolnego"/>
        <w:rPr>
          <w:rFonts w:ascii="Calibri" w:hAnsi="Calibri"/>
          <w:sz w:val="18"/>
        </w:rPr>
      </w:pPr>
      <w:r w:rsidRPr="00662F03">
        <w:rPr>
          <w:rStyle w:val="Odwoanieprzypisudolnego"/>
          <w:rFonts w:ascii="Calibri" w:hAnsi="Calibri"/>
          <w:sz w:val="18"/>
        </w:rPr>
        <w:footnoteRef/>
      </w:r>
      <w:r w:rsidRPr="00662F03">
        <w:rPr>
          <w:rFonts w:ascii="Calibri" w:hAnsi="Calibri"/>
          <w:sz w:val="18"/>
        </w:rPr>
        <w:t xml:space="preserve"> Opracowanie własne na podstawie wyników testów obwodowych komisji egzaminacyjnych.</w:t>
      </w:r>
    </w:p>
  </w:footnote>
  <w:footnote w:id="6">
    <w:p w:rsidR="00D24064" w:rsidRPr="0066782A" w:rsidRDefault="00D24064" w:rsidP="009E02A8">
      <w:pPr>
        <w:pStyle w:val="Tekstprzypisudolnego"/>
        <w:rPr>
          <w:rFonts w:ascii="Calibri" w:hAnsi="Calibri"/>
          <w:sz w:val="18"/>
        </w:rPr>
      </w:pPr>
      <w:r w:rsidRPr="0066782A">
        <w:rPr>
          <w:rStyle w:val="Odwoanieprzypisudolnego"/>
          <w:rFonts w:ascii="Calibri" w:hAnsi="Calibri"/>
          <w:sz w:val="18"/>
        </w:rPr>
        <w:footnoteRef/>
      </w:r>
      <w:r w:rsidRPr="0066782A">
        <w:rPr>
          <w:rFonts w:ascii="Calibri" w:hAnsi="Calibri"/>
          <w:sz w:val="18"/>
        </w:rPr>
        <w:t xml:space="preserve"> Na podstawie Raportu z badań innowacji w województwie wielkopolskim przeprowadzonych przez Centrum Badań Marketingowych INDICATOR</w:t>
      </w:r>
    </w:p>
  </w:footnote>
  <w:footnote w:id="7">
    <w:p w:rsidR="00D24064" w:rsidRPr="00DD0FC9" w:rsidRDefault="00D24064">
      <w:pPr>
        <w:pStyle w:val="Tekstprzypisudolnego"/>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Lokalnego Programu Rewitalizacji Obszarów Miejskich w Nowej Soli</w:t>
      </w:r>
    </w:p>
  </w:footnote>
  <w:footnote w:id="8">
    <w:p w:rsidR="00D24064" w:rsidRPr="00DD0FC9" w:rsidRDefault="00D24064" w:rsidP="00822F0A">
      <w:pPr>
        <w:pStyle w:val="Tekstprzypisudolnego"/>
        <w:jc w:val="both"/>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Studium Uwarunkowań i Kierunków Zagospodarowania Przestrzennego Gminy Nowa Sól-Miasto</w:t>
      </w:r>
    </w:p>
  </w:footnote>
  <w:footnote w:id="9">
    <w:p w:rsidR="00D24064" w:rsidRPr="00DD0FC9" w:rsidRDefault="00D24064">
      <w:pPr>
        <w:pStyle w:val="Tekstprzypisudolnego"/>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w:t>
      </w:r>
      <w:r w:rsidRPr="00DD0FC9">
        <w:rPr>
          <w:rFonts w:ascii="Calibri" w:hAnsi="Calibri"/>
          <w:i/>
          <w:sz w:val="18"/>
        </w:rPr>
        <w:t>Lokalnego Programu Rewitalizacji Obszarów Miejskich w Nowej Soli</w:t>
      </w:r>
    </w:p>
  </w:footnote>
  <w:footnote w:id="10">
    <w:p w:rsidR="00D24064" w:rsidRPr="00DD0FC9" w:rsidRDefault="00D24064">
      <w:pPr>
        <w:pStyle w:val="Tekstprzypisudolnego"/>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danych http://www.plk-inwestycje.pl/</w:t>
      </w:r>
    </w:p>
  </w:footnote>
  <w:footnote w:id="11">
    <w:p w:rsidR="00D24064" w:rsidRPr="00DD0FC9" w:rsidRDefault="00D24064" w:rsidP="00985B5C">
      <w:pPr>
        <w:pStyle w:val="Tekstprzypisudolnego"/>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informacji Polskich Linii Kolejowych http://www.plk-sa.pl/komunikaty-i-wydarzenia/c-e-59-miedzylesie-wroclaw-kostrzyn-szczecin-zakonczyl-sie-pierwszy-etap-prac-zwiazanych-z-przygotowaniem-projektu-modernizacji/</w:t>
      </w:r>
    </w:p>
  </w:footnote>
  <w:footnote w:id="12">
    <w:p w:rsidR="00D24064" w:rsidRPr="00DD0FC9" w:rsidRDefault="00D24064" w:rsidP="00EC2EE2">
      <w:pPr>
        <w:autoSpaceDE w:val="0"/>
        <w:autoSpaceDN w:val="0"/>
        <w:adjustRightInd w:val="0"/>
        <w:rPr>
          <w:rFonts w:ascii="Calibri" w:hAnsi="Calibri" w:cs="TimesNewRoman"/>
          <w:sz w:val="18"/>
          <w:szCs w:val="20"/>
        </w:rPr>
      </w:pPr>
      <w:r w:rsidRPr="00DD0FC9">
        <w:rPr>
          <w:rStyle w:val="Odwoanieprzypisudolnego"/>
          <w:rFonts w:ascii="Calibri" w:hAnsi="Calibri"/>
          <w:sz w:val="18"/>
          <w:szCs w:val="20"/>
        </w:rPr>
        <w:footnoteRef/>
      </w:r>
      <w:r w:rsidRPr="00DD0FC9">
        <w:rPr>
          <w:rFonts w:ascii="Calibri" w:hAnsi="Calibri"/>
          <w:sz w:val="18"/>
          <w:szCs w:val="20"/>
        </w:rPr>
        <w:t xml:space="preserve"> </w:t>
      </w:r>
      <w:r w:rsidRPr="00DD0FC9">
        <w:rPr>
          <w:rFonts w:ascii="Calibri" w:hAnsi="Calibri" w:cs="TimesNewRoman"/>
          <w:sz w:val="18"/>
          <w:szCs w:val="20"/>
        </w:rPr>
        <w:t>Rozporządzenie Rady Ministrów z dnia 7 maja 2002 r. w sprawie klasyfikacji śródlądowych dróg wodnych</w:t>
      </w:r>
    </w:p>
    <w:p w:rsidR="00D24064" w:rsidRPr="00DD0FC9" w:rsidRDefault="00D24064" w:rsidP="00EC2EE2">
      <w:pPr>
        <w:pStyle w:val="Tekstprzypisudolnego"/>
        <w:rPr>
          <w:rFonts w:ascii="Calibri" w:hAnsi="Calibri"/>
          <w:sz w:val="18"/>
        </w:rPr>
      </w:pPr>
      <w:r w:rsidRPr="00DD0FC9">
        <w:rPr>
          <w:rFonts w:ascii="Calibri" w:hAnsi="Calibri" w:cs="TimesNewRoman"/>
          <w:sz w:val="18"/>
        </w:rPr>
        <w:t>(Dz. U. z dnia 18.06.2002 r.)</w:t>
      </w:r>
    </w:p>
  </w:footnote>
  <w:footnote w:id="13">
    <w:p w:rsidR="00D24064" w:rsidRPr="00DD0FC9" w:rsidRDefault="00D24064">
      <w:pPr>
        <w:pStyle w:val="Tekstprzypisudolnego"/>
        <w:rPr>
          <w:rFonts w:ascii="Calibri" w:hAnsi="Calibri"/>
          <w:sz w:val="18"/>
        </w:rPr>
      </w:pPr>
      <w:r w:rsidRPr="00DD0FC9">
        <w:rPr>
          <w:rStyle w:val="Odwoanieprzypisudolnego"/>
          <w:rFonts w:ascii="Calibri" w:hAnsi="Calibri"/>
          <w:sz w:val="18"/>
        </w:rPr>
        <w:footnoteRef/>
      </w:r>
      <w:r w:rsidRPr="00DD0FC9">
        <w:rPr>
          <w:rFonts w:ascii="Calibri" w:hAnsi="Calibri"/>
          <w:sz w:val="18"/>
        </w:rPr>
        <w:t xml:space="preserve"> Na podstawie Studium Uwarunkowań i Kierunków Zagospodarowania Przestrzennego</w:t>
      </w:r>
    </w:p>
  </w:footnote>
  <w:footnote w:id="14">
    <w:p w:rsidR="00D24064" w:rsidRPr="008E3983" w:rsidRDefault="00D24064">
      <w:pPr>
        <w:pStyle w:val="Tekstprzypisudolnego"/>
        <w:rPr>
          <w:rFonts w:ascii="Calibri" w:hAnsi="Calibri"/>
          <w:sz w:val="18"/>
        </w:rPr>
      </w:pPr>
      <w:r w:rsidRPr="008E3983">
        <w:rPr>
          <w:rStyle w:val="Odwoanieprzypisudolnego"/>
          <w:rFonts w:ascii="Calibri" w:hAnsi="Calibri"/>
          <w:sz w:val="18"/>
        </w:rPr>
        <w:footnoteRef/>
      </w:r>
      <w:r w:rsidRPr="008E3983">
        <w:rPr>
          <w:rFonts w:ascii="Calibri" w:hAnsi="Calibri"/>
          <w:sz w:val="18"/>
        </w:rPr>
        <w:t xml:space="preserve"> Na podstawie </w:t>
      </w:r>
      <w:r w:rsidRPr="008E3983">
        <w:rPr>
          <w:rFonts w:ascii="Calibri" w:hAnsi="Calibri"/>
          <w:i/>
          <w:sz w:val="18"/>
        </w:rPr>
        <w:t>Informacji o stanie środowiska w powiecie nowosolskim</w:t>
      </w:r>
      <w:r w:rsidRPr="008E3983">
        <w:rPr>
          <w:rFonts w:ascii="Calibri" w:hAnsi="Calibri"/>
          <w:sz w:val="18"/>
        </w:rPr>
        <w:t>, Wojewódzki Inspektorat Ochrony Środowiska w Zielonej Górze</w:t>
      </w:r>
    </w:p>
  </w:footnote>
  <w:footnote w:id="15">
    <w:p w:rsidR="00D24064" w:rsidRPr="008E3983" w:rsidRDefault="00D24064">
      <w:pPr>
        <w:pStyle w:val="Tekstprzypisudolnego"/>
        <w:rPr>
          <w:rFonts w:ascii="Calibri" w:hAnsi="Calibri"/>
          <w:sz w:val="18"/>
        </w:rPr>
      </w:pPr>
      <w:r w:rsidRPr="008E3983">
        <w:rPr>
          <w:rStyle w:val="Odwoanieprzypisudolnego"/>
          <w:rFonts w:ascii="Calibri" w:hAnsi="Calibri"/>
          <w:sz w:val="18"/>
        </w:rPr>
        <w:footnoteRef/>
      </w:r>
      <w:r w:rsidRPr="008E3983">
        <w:rPr>
          <w:rFonts w:ascii="Calibri" w:hAnsi="Calibri"/>
          <w:sz w:val="18"/>
        </w:rPr>
        <w:t xml:space="preserve"> Na podstawie danych ze strony internetowej MGZK Nowa Sól http://www.mzgkns.pl</w:t>
      </w:r>
    </w:p>
  </w:footnote>
  <w:footnote w:id="16">
    <w:p w:rsidR="00D24064" w:rsidRPr="00A85D6C" w:rsidRDefault="00D24064" w:rsidP="00A85D6C">
      <w:pPr>
        <w:pStyle w:val="Tekstprzypisudolnego"/>
        <w:jc w:val="both"/>
        <w:rPr>
          <w:rFonts w:ascii="Calibri" w:hAnsi="Calibri"/>
          <w:sz w:val="18"/>
        </w:rPr>
      </w:pPr>
      <w:r w:rsidRPr="00A85D6C">
        <w:rPr>
          <w:rStyle w:val="Odwoanieprzypisudolnego"/>
          <w:rFonts w:ascii="Calibri" w:hAnsi="Calibri"/>
          <w:sz w:val="18"/>
        </w:rPr>
        <w:footnoteRef/>
      </w:r>
      <w:r w:rsidRPr="00A85D6C">
        <w:rPr>
          <w:rFonts w:ascii="Calibri" w:hAnsi="Calibri"/>
          <w:sz w:val="18"/>
        </w:rPr>
        <w:t xml:space="preserve"> Na podstawie: J. Zawora, </w:t>
      </w:r>
      <w:r w:rsidRPr="00A85D6C">
        <w:rPr>
          <w:rFonts w:ascii="Calibri" w:hAnsi="Calibri"/>
          <w:i/>
          <w:sz w:val="18"/>
        </w:rPr>
        <w:t>Samodzielność finansowa samorządu gminnego</w:t>
      </w:r>
      <w:r w:rsidRPr="00A85D6C">
        <w:rPr>
          <w:rFonts w:ascii="Calibri" w:hAnsi="Calibri"/>
          <w:sz w:val="18"/>
        </w:rPr>
        <w:t>, Wydawnictwo Uniwersytetu Rzeszowskiego, Rzeszów 2008, s. 190</w:t>
      </w:r>
    </w:p>
  </w:footnote>
  <w:footnote w:id="17">
    <w:p w:rsidR="00D24064" w:rsidRPr="00A85D6C" w:rsidRDefault="00D24064" w:rsidP="0042353D">
      <w:pPr>
        <w:autoSpaceDE w:val="0"/>
        <w:autoSpaceDN w:val="0"/>
        <w:adjustRightInd w:val="0"/>
        <w:jc w:val="both"/>
        <w:rPr>
          <w:rFonts w:ascii="Calibri" w:hAnsi="Calibri" w:cs="Helvetica"/>
          <w:sz w:val="18"/>
          <w:szCs w:val="20"/>
        </w:rPr>
      </w:pPr>
      <w:r w:rsidRPr="00A85D6C">
        <w:rPr>
          <w:rStyle w:val="Odwoanieprzypisudolnego"/>
          <w:rFonts w:ascii="Calibri" w:hAnsi="Calibri"/>
          <w:sz w:val="18"/>
          <w:szCs w:val="20"/>
        </w:rPr>
        <w:footnoteRef/>
      </w:r>
      <w:r w:rsidRPr="00A85D6C">
        <w:rPr>
          <w:rFonts w:ascii="Calibri" w:hAnsi="Calibri"/>
          <w:sz w:val="18"/>
          <w:szCs w:val="20"/>
        </w:rPr>
        <w:t xml:space="preserve"> </w:t>
      </w:r>
      <w:r w:rsidRPr="00A85D6C">
        <w:rPr>
          <w:rFonts w:ascii="Calibri" w:hAnsi="Calibri" w:cs="Helvetica"/>
          <w:sz w:val="18"/>
          <w:szCs w:val="20"/>
        </w:rPr>
        <w:t>Poj</w:t>
      </w:r>
      <w:r w:rsidRPr="00A85D6C">
        <w:rPr>
          <w:rFonts w:ascii="Calibri" w:hAnsi="Calibri" w:cs="Arial"/>
          <w:sz w:val="18"/>
          <w:szCs w:val="20"/>
        </w:rPr>
        <w:t>ę</w:t>
      </w:r>
      <w:r w:rsidRPr="00A85D6C">
        <w:rPr>
          <w:rFonts w:ascii="Calibri" w:hAnsi="Calibri" w:cs="Helvetica"/>
          <w:sz w:val="18"/>
          <w:szCs w:val="20"/>
        </w:rPr>
        <w:t>cie „nadwy</w:t>
      </w:r>
      <w:r w:rsidRPr="00A85D6C">
        <w:rPr>
          <w:rFonts w:ascii="Calibri" w:hAnsi="Calibri" w:cs="Arial"/>
          <w:sz w:val="18"/>
          <w:szCs w:val="20"/>
        </w:rPr>
        <w:t>ż</w:t>
      </w:r>
      <w:r w:rsidRPr="00A85D6C">
        <w:rPr>
          <w:rFonts w:ascii="Calibri" w:hAnsi="Calibri" w:cs="Helvetica"/>
          <w:sz w:val="18"/>
          <w:szCs w:val="20"/>
        </w:rPr>
        <w:t>ka operacyjna”, w kontek</w:t>
      </w:r>
      <w:r w:rsidRPr="00A85D6C">
        <w:rPr>
          <w:rFonts w:ascii="Calibri" w:hAnsi="Calibri" w:cs="Arial"/>
          <w:sz w:val="18"/>
          <w:szCs w:val="20"/>
        </w:rPr>
        <w:t>ś</w:t>
      </w:r>
      <w:r w:rsidRPr="00A85D6C">
        <w:rPr>
          <w:rFonts w:ascii="Calibri" w:hAnsi="Calibri" w:cs="Helvetica"/>
          <w:sz w:val="18"/>
          <w:szCs w:val="20"/>
        </w:rPr>
        <w:t>cie jednostek samorz</w:t>
      </w:r>
      <w:r w:rsidRPr="00A85D6C">
        <w:rPr>
          <w:rFonts w:ascii="Calibri" w:hAnsi="Calibri" w:cs="Arial"/>
          <w:sz w:val="18"/>
          <w:szCs w:val="20"/>
        </w:rPr>
        <w:t>ą</w:t>
      </w:r>
      <w:r w:rsidRPr="00A85D6C">
        <w:rPr>
          <w:rFonts w:ascii="Calibri" w:hAnsi="Calibri" w:cs="Helvetica"/>
          <w:sz w:val="18"/>
          <w:szCs w:val="20"/>
        </w:rPr>
        <w:t>du terytorialnego, zostało po raz pierwszy u</w:t>
      </w:r>
      <w:r w:rsidRPr="00A85D6C">
        <w:rPr>
          <w:rFonts w:ascii="Calibri" w:hAnsi="Calibri" w:cs="Arial"/>
          <w:sz w:val="18"/>
          <w:szCs w:val="20"/>
        </w:rPr>
        <w:t>ż</w:t>
      </w:r>
      <w:r w:rsidRPr="00A85D6C">
        <w:rPr>
          <w:rFonts w:ascii="Calibri" w:hAnsi="Calibri" w:cs="Helvetica"/>
          <w:sz w:val="18"/>
          <w:szCs w:val="20"/>
        </w:rPr>
        <w:t>yte przez Ministerstwo Finansów w dokumencie pn. „Nadwy</w:t>
      </w:r>
      <w:r w:rsidRPr="00A85D6C">
        <w:rPr>
          <w:rFonts w:ascii="Calibri" w:hAnsi="Calibri" w:cs="Arial"/>
          <w:sz w:val="18"/>
          <w:szCs w:val="20"/>
        </w:rPr>
        <w:t>ż</w:t>
      </w:r>
      <w:r w:rsidRPr="00A85D6C">
        <w:rPr>
          <w:rFonts w:ascii="Calibri" w:hAnsi="Calibri" w:cs="Helvetica"/>
          <w:sz w:val="18"/>
          <w:szCs w:val="20"/>
        </w:rPr>
        <w:t>ka operacyjna w jednostkach samorz</w:t>
      </w:r>
      <w:r w:rsidRPr="00A85D6C">
        <w:rPr>
          <w:rFonts w:ascii="Calibri" w:hAnsi="Calibri" w:cs="Arial"/>
          <w:sz w:val="18"/>
          <w:szCs w:val="20"/>
        </w:rPr>
        <w:t>ą</w:t>
      </w:r>
      <w:r w:rsidRPr="00A85D6C">
        <w:rPr>
          <w:rFonts w:ascii="Calibri" w:hAnsi="Calibri" w:cs="Helvetica"/>
          <w:sz w:val="18"/>
          <w:szCs w:val="20"/>
        </w:rPr>
        <w:t>du terytorialnego”. Dokument ten został pozytywnie zaopiniowany przez Zespół ds. Systemu Finansów Publicznych Komisji Wspólnej Rz</w:t>
      </w:r>
      <w:r w:rsidRPr="00A85D6C">
        <w:rPr>
          <w:rFonts w:ascii="Calibri" w:hAnsi="Calibri" w:cs="Arial"/>
          <w:sz w:val="18"/>
          <w:szCs w:val="20"/>
        </w:rPr>
        <w:t>ą</w:t>
      </w:r>
      <w:r w:rsidRPr="00A85D6C">
        <w:rPr>
          <w:rFonts w:ascii="Calibri" w:hAnsi="Calibri" w:cs="Helvetica"/>
          <w:sz w:val="18"/>
          <w:szCs w:val="20"/>
        </w:rPr>
        <w:t>du i Samorz</w:t>
      </w:r>
      <w:r w:rsidRPr="00A85D6C">
        <w:rPr>
          <w:rFonts w:ascii="Calibri" w:hAnsi="Calibri" w:cs="Arial"/>
          <w:sz w:val="18"/>
          <w:szCs w:val="20"/>
        </w:rPr>
        <w:t>ą</w:t>
      </w:r>
      <w:r w:rsidRPr="00A85D6C">
        <w:rPr>
          <w:rFonts w:ascii="Calibri" w:hAnsi="Calibri" w:cs="Helvetica"/>
          <w:sz w:val="18"/>
          <w:szCs w:val="20"/>
        </w:rPr>
        <w:t>du Terytorialnego w dniu 18 pa</w:t>
      </w:r>
      <w:r w:rsidRPr="00A85D6C">
        <w:rPr>
          <w:rFonts w:ascii="Calibri" w:hAnsi="Calibri" w:cs="Arial"/>
          <w:sz w:val="18"/>
          <w:szCs w:val="20"/>
        </w:rPr>
        <w:t>ź</w:t>
      </w:r>
      <w:r w:rsidRPr="00A85D6C">
        <w:rPr>
          <w:rFonts w:ascii="Calibri" w:hAnsi="Calibri" w:cs="Helvetica"/>
          <w:sz w:val="18"/>
          <w:szCs w:val="20"/>
        </w:rPr>
        <w:t>dziernika 2005 r. Aktualnie jest to najwa</w:t>
      </w:r>
      <w:r w:rsidRPr="00A85D6C">
        <w:rPr>
          <w:rFonts w:ascii="Calibri" w:hAnsi="Calibri" w:cs="Arial"/>
          <w:sz w:val="18"/>
          <w:szCs w:val="20"/>
        </w:rPr>
        <w:t>ż</w:t>
      </w:r>
      <w:r w:rsidRPr="00A85D6C">
        <w:rPr>
          <w:rFonts w:ascii="Calibri" w:hAnsi="Calibri" w:cs="Helvetica"/>
          <w:sz w:val="18"/>
          <w:szCs w:val="20"/>
        </w:rPr>
        <w:t>niejszy wska</w:t>
      </w:r>
      <w:r w:rsidRPr="00A85D6C">
        <w:rPr>
          <w:rFonts w:ascii="Calibri" w:hAnsi="Calibri" w:cs="Arial"/>
          <w:sz w:val="18"/>
          <w:szCs w:val="20"/>
        </w:rPr>
        <w:t>ź</w:t>
      </w:r>
      <w:r w:rsidRPr="00A85D6C">
        <w:rPr>
          <w:rFonts w:ascii="Calibri" w:hAnsi="Calibri" w:cs="Helvetica"/>
          <w:sz w:val="18"/>
          <w:szCs w:val="20"/>
        </w:rPr>
        <w:t>nik sytuacji finansowej jst.</w:t>
      </w:r>
    </w:p>
  </w:footnote>
  <w:footnote w:id="18">
    <w:p w:rsidR="00D24064" w:rsidRPr="008522CD" w:rsidRDefault="00D24064" w:rsidP="00B7524A">
      <w:pPr>
        <w:pStyle w:val="Tekstprzypisudolnego"/>
        <w:rPr>
          <w:rFonts w:ascii="Calibri" w:hAnsi="Calibri"/>
          <w:sz w:val="18"/>
        </w:rPr>
      </w:pPr>
      <w:r w:rsidRPr="008522CD">
        <w:rPr>
          <w:rStyle w:val="Odwoanieprzypisudolnego"/>
          <w:rFonts w:ascii="Calibri" w:hAnsi="Calibri"/>
          <w:sz w:val="18"/>
        </w:rPr>
        <w:footnoteRef/>
      </w:r>
      <w:r w:rsidRPr="008522CD">
        <w:rPr>
          <w:rFonts w:ascii="Calibri" w:hAnsi="Calibri"/>
          <w:sz w:val="18"/>
        </w:rPr>
        <w:t xml:space="preserve"> Na podstawie opracowania GUS Powiaty i gminy w województwie lubuskim w 2009 r. „Powiat nowosolski”.</w:t>
      </w:r>
    </w:p>
  </w:footnote>
  <w:footnote w:id="19">
    <w:p w:rsidR="00D24064" w:rsidRPr="00912D57" w:rsidRDefault="00D24064">
      <w:pPr>
        <w:pStyle w:val="Tekstprzypisudolnego"/>
        <w:rPr>
          <w:rFonts w:ascii="Calibri" w:hAnsi="Calibri"/>
        </w:rPr>
      </w:pPr>
      <w:r w:rsidRPr="00912D57">
        <w:rPr>
          <w:rStyle w:val="Odwoanieprzypisudolnego"/>
          <w:rFonts w:ascii="Calibri" w:hAnsi="Calibri"/>
        </w:rPr>
        <w:footnoteRef/>
      </w:r>
      <w:r w:rsidRPr="00912D57">
        <w:rPr>
          <w:rFonts w:ascii="Calibri" w:hAnsi="Calibri"/>
        </w:rPr>
        <w:t xml:space="preserve"> Na podstawie http://www.dobrepraktyki.pl/</w:t>
      </w:r>
    </w:p>
  </w:footnote>
  <w:footnote w:id="20">
    <w:p w:rsidR="00D24064" w:rsidRPr="008522CD" w:rsidRDefault="00D24064" w:rsidP="004409B9">
      <w:pPr>
        <w:pStyle w:val="Tekstprzypisudolnego"/>
        <w:rPr>
          <w:rFonts w:ascii="Calibri" w:hAnsi="Calibri"/>
          <w:sz w:val="18"/>
        </w:rPr>
      </w:pPr>
      <w:r w:rsidRPr="008522CD">
        <w:rPr>
          <w:rStyle w:val="Odwoanieprzypisudolnego"/>
          <w:rFonts w:ascii="Calibri" w:hAnsi="Calibri"/>
          <w:sz w:val="18"/>
        </w:rPr>
        <w:footnoteRef/>
      </w:r>
      <w:r w:rsidRPr="008522CD">
        <w:rPr>
          <w:rFonts w:ascii="Calibri" w:hAnsi="Calibri"/>
          <w:sz w:val="18"/>
        </w:rPr>
        <w:t>Na podstawie Gminnego Programu Opieki nad Zabytkami dla Miasta Nowa Sól na Lata 2011-2015.</w:t>
      </w:r>
    </w:p>
  </w:footnote>
  <w:footnote w:id="21">
    <w:p w:rsidR="00D24064" w:rsidRPr="008522CD" w:rsidRDefault="00D24064" w:rsidP="000A1556">
      <w:pPr>
        <w:pStyle w:val="Tekstprzypisudolnego"/>
        <w:rPr>
          <w:rFonts w:ascii="Calibri" w:hAnsi="Calibri"/>
          <w:sz w:val="18"/>
        </w:rPr>
      </w:pPr>
      <w:r w:rsidRPr="008522CD">
        <w:rPr>
          <w:rStyle w:val="Odwoanieprzypisudolnego"/>
          <w:rFonts w:ascii="Calibri" w:hAnsi="Calibri"/>
          <w:sz w:val="18"/>
        </w:rPr>
        <w:footnoteRef/>
      </w:r>
      <w:r w:rsidRPr="008522CD">
        <w:rPr>
          <w:rFonts w:ascii="Calibri" w:hAnsi="Calibri"/>
          <w:sz w:val="18"/>
        </w:rPr>
        <w:t xml:space="preserve"> </w:t>
      </w:r>
      <w:r w:rsidRPr="008522CD">
        <w:rPr>
          <w:rFonts w:ascii="Calibri" w:hAnsi="Calibri" w:cs="MyriadPro-Regular"/>
          <w:sz w:val="18"/>
        </w:rPr>
        <w:t>Opracowanie na podstawie danych GUS 2009 raport „Turystyka w województwie lubuskim w 2009 roku”.</w:t>
      </w:r>
    </w:p>
  </w:footnote>
  <w:footnote w:id="22">
    <w:p w:rsidR="00D24064" w:rsidRPr="008522CD" w:rsidRDefault="00D24064" w:rsidP="00C57A7D">
      <w:pPr>
        <w:pStyle w:val="Tekstprzypisudolnego"/>
        <w:jc w:val="both"/>
        <w:rPr>
          <w:rFonts w:ascii="Calibri" w:hAnsi="Calibri"/>
          <w:b/>
          <w:bCs/>
          <w:sz w:val="18"/>
        </w:rPr>
      </w:pPr>
      <w:r w:rsidRPr="008522CD">
        <w:rPr>
          <w:rStyle w:val="Odwoanieprzypisudolnego"/>
          <w:rFonts w:ascii="Calibri" w:hAnsi="Calibri"/>
          <w:sz w:val="18"/>
        </w:rPr>
        <w:footnoteRef/>
      </w:r>
      <w:r w:rsidRPr="008522CD">
        <w:rPr>
          <w:rFonts w:ascii="Calibri" w:hAnsi="Calibri"/>
          <w:sz w:val="18"/>
        </w:rPr>
        <w:t xml:space="preserve"> Na podstawie danych zawartych w dokumencie pt. „</w:t>
      </w:r>
      <w:r w:rsidRPr="008522CD">
        <w:rPr>
          <w:rFonts w:ascii="Calibri" w:hAnsi="Calibri"/>
          <w:bCs/>
          <w:sz w:val="18"/>
        </w:rPr>
        <w:t>Ocena stanu sanitarnego obiektów znajdujących się na terenie miasta Nowa Sól nadzorowanych przez sekcję Higieny Komunalnej PSSE w Nowej Soli w 2009 roku”.</w:t>
      </w:r>
    </w:p>
  </w:footnote>
  <w:footnote w:id="23">
    <w:p w:rsidR="00D24064" w:rsidRPr="008522CD" w:rsidRDefault="00D24064" w:rsidP="00C57A7D">
      <w:pPr>
        <w:pStyle w:val="Tekstprzypisudolnego"/>
        <w:jc w:val="both"/>
        <w:rPr>
          <w:rFonts w:ascii="Calibri" w:hAnsi="Calibri"/>
          <w:sz w:val="18"/>
        </w:rPr>
      </w:pPr>
      <w:r w:rsidRPr="008522CD">
        <w:rPr>
          <w:rStyle w:val="Odwoanieprzypisudolnego"/>
          <w:rFonts w:ascii="Calibri" w:hAnsi="Calibri"/>
          <w:sz w:val="18"/>
        </w:rPr>
        <w:footnoteRef/>
      </w:r>
      <w:r w:rsidRPr="008522CD">
        <w:rPr>
          <w:rFonts w:ascii="Calibri" w:hAnsi="Calibri"/>
          <w:sz w:val="18"/>
        </w:rPr>
        <w:t xml:space="preserve"> Na podstawie </w:t>
      </w:r>
      <w:r w:rsidRPr="008522CD">
        <w:rPr>
          <w:rFonts w:ascii="Calibri" w:hAnsi="Calibri"/>
          <w:i/>
          <w:sz w:val="18"/>
        </w:rPr>
        <w:t>Informacji o funkcjonowaniu Miejskiego Ośrodka Pomocy Społecznej w Nowej Soli</w:t>
      </w:r>
      <w:r w:rsidRPr="008522CD">
        <w:rPr>
          <w:rFonts w:ascii="Calibri" w:hAnsi="Calibri"/>
          <w:sz w:val="18"/>
        </w:rPr>
        <w:t xml:space="preserve"> za lata 2009 i 2010.</w:t>
      </w:r>
    </w:p>
  </w:footnote>
  <w:footnote w:id="24">
    <w:p w:rsidR="00D24064" w:rsidRPr="008522CD" w:rsidRDefault="00D24064" w:rsidP="00F4371C">
      <w:pPr>
        <w:rPr>
          <w:rFonts w:ascii="Calibri" w:hAnsi="Calibri"/>
          <w:sz w:val="18"/>
          <w:szCs w:val="20"/>
        </w:rPr>
      </w:pPr>
      <w:r w:rsidRPr="008522CD">
        <w:rPr>
          <w:rStyle w:val="Odwoanieprzypisudolnego"/>
          <w:rFonts w:ascii="Calibri" w:hAnsi="Calibri"/>
          <w:sz w:val="18"/>
          <w:szCs w:val="20"/>
        </w:rPr>
        <w:footnoteRef/>
      </w:r>
      <w:r w:rsidRPr="008522CD">
        <w:rPr>
          <w:rFonts w:ascii="Calibri" w:hAnsi="Calibri"/>
          <w:sz w:val="18"/>
          <w:szCs w:val="20"/>
        </w:rPr>
        <w:t xml:space="preserve"> Źródło: http://nowasol.pl/index.php/component/content/article/39-strona-gowna/199-narada-roczna-w-nowosolskiej-komendzie-policji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64" w:rsidRDefault="00D24064" w:rsidP="002F0A89">
    <w:pPr>
      <w:pStyle w:val="Nagwek"/>
      <w:rPr>
        <w:rFonts w:ascii="Verdana" w:hAnsi="Verdana"/>
        <w:sz w:val="18"/>
        <w:szCs w:val="16"/>
      </w:rPr>
    </w:pPr>
    <w:r>
      <w:rPr>
        <w:rFonts w:ascii="Verdana" w:hAnsi="Verdana"/>
        <w:sz w:val="18"/>
        <w:szCs w:val="16"/>
      </w:rPr>
      <w:t>Diagnoza społeczno-gospodarcza Miasta Nowa Sól</w:t>
    </w:r>
  </w:p>
  <w:p w:rsidR="00D24064" w:rsidRPr="002F0A89" w:rsidRDefault="00D24064" w:rsidP="002F0A89">
    <w:pPr>
      <w:pStyle w:val="Nagwek"/>
      <w:rPr>
        <w:szCs w:val="16"/>
      </w:rPr>
    </w:pPr>
    <w:r>
      <w:rPr>
        <w:noProof/>
        <w:szCs w:val="16"/>
      </w:rPr>
      <w:pict>
        <v:line id="_x0000_s2065" style="position:absolute;z-index:251658240" from="-4.5pt,2.4pt" to="454.5pt,2.4pt" strokecolor="#002867" strokeweight="1.7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064" w:rsidRDefault="00D24064" w:rsidP="008522CD">
    <w:pPr>
      <w:pStyle w:val="Nagwek"/>
    </w:pPr>
    <w:r>
      <w:rPr>
        <w:noProof/>
      </w:rPr>
      <w:pict>
        <v:group id="_x0000_s2066" style="position:absolute;margin-left:-56.6pt;margin-top:-35.35pt;width:564pt;height:108.75pt;z-index:-251657216" coordorigin="337,12031" coordsize="11280,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337;top:12031;width:4470;height:2175">
            <v:imagedata r:id="rId1" o:title="KAPITAL_LUDZKI_POZ"/>
          </v:shape>
          <v:shape id="_x0000_s2068" type="#_x0000_t75" style="position:absolute;left:8122;top:12533;width:3495;height:1290">
            <v:imagedata r:id="rId2" o:title="UE+EFS_L-mono"/>
          </v:shape>
          <v:shape id="_x0000_s2069" type="#_x0000_t75" style="position:absolute;left:5234;top:12650;width:1440;height:851;mso-position-horizontal:center">
            <v:imagedata r:id="rId3" o:title="logo_trojmiasto2"/>
          </v:shape>
        </v:group>
      </w:pict>
    </w:r>
  </w:p>
  <w:p w:rsidR="00D24064" w:rsidRDefault="00D24064" w:rsidP="008522CD">
    <w:pPr>
      <w:pStyle w:val="Nagwek"/>
    </w:pPr>
  </w:p>
  <w:p w:rsidR="00D24064" w:rsidRDefault="00D24064" w:rsidP="008522CD">
    <w:pPr>
      <w:pStyle w:val="Nagwek"/>
    </w:pPr>
  </w:p>
  <w:p w:rsidR="00D24064" w:rsidRDefault="00D24064" w:rsidP="008522CD">
    <w:pPr>
      <w:pStyle w:val="Nagwek"/>
    </w:pPr>
  </w:p>
  <w:p w:rsidR="00D24064" w:rsidRPr="00F04DF8" w:rsidRDefault="00D24064" w:rsidP="000F04B2">
    <w:pPr>
      <w:shd w:val="clear" w:color="auto" w:fill="FFFFFF"/>
      <w:spacing w:line="240" w:lineRule="atLeast"/>
      <w:jc w:val="center"/>
      <w:rPr>
        <w:rFonts w:ascii="Arial" w:hAnsi="Arial" w:cs="Arial"/>
        <w:b/>
        <w:color w:val="808080"/>
        <w:sz w:val="16"/>
        <w:szCs w:val="16"/>
      </w:rPr>
    </w:pPr>
    <w:r w:rsidRPr="00F04DF8">
      <w:rPr>
        <w:rFonts w:ascii="Verdana" w:hAnsi="Verdana" w:cs="Arial"/>
        <w:color w:val="808080"/>
        <w:sz w:val="16"/>
        <w:szCs w:val="16"/>
      </w:rPr>
      <w:t>Projekt jest współfinansowany przez</w:t>
    </w:r>
    <w:r w:rsidRPr="00F04DF8">
      <w:rPr>
        <w:rFonts w:ascii="Verdana" w:hAnsi="Verdana" w:cs="Arial"/>
        <w:b/>
        <w:color w:val="808080"/>
        <w:sz w:val="16"/>
        <w:szCs w:val="16"/>
      </w:rPr>
      <w:t xml:space="preserve"> </w:t>
    </w:r>
    <w:r w:rsidRPr="00F04DF8">
      <w:rPr>
        <w:rStyle w:val="Pogrubienie"/>
        <w:rFonts w:ascii="Verdana" w:hAnsi="Verdana" w:cs="Arial"/>
        <w:b w:val="0"/>
        <w:color w:val="808080"/>
        <w:sz w:val="16"/>
        <w:szCs w:val="16"/>
      </w:rPr>
      <w:t xml:space="preserve">Unię Europejską </w:t>
    </w:r>
    <w:r w:rsidRPr="00F04DF8">
      <w:rPr>
        <w:rFonts w:ascii="Verdana" w:hAnsi="Verdana" w:cs="Arial"/>
        <w:color w:val="808080"/>
        <w:sz w:val="16"/>
        <w:szCs w:val="16"/>
      </w:rPr>
      <w:t>ze środków</w:t>
    </w:r>
    <w:r w:rsidRPr="00F04DF8">
      <w:rPr>
        <w:rFonts w:ascii="Verdana" w:hAnsi="Verdana" w:cs="Arial"/>
        <w:b/>
        <w:color w:val="808080"/>
        <w:sz w:val="16"/>
        <w:szCs w:val="16"/>
      </w:rPr>
      <w:t xml:space="preserve"> </w:t>
    </w:r>
    <w:r w:rsidRPr="00F04DF8">
      <w:rPr>
        <w:rStyle w:val="Pogrubienie"/>
        <w:rFonts w:ascii="Verdana" w:hAnsi="Verdana" w:cs="Arial"/>
        <w:b w:val="0"/>
        <w:color w:val="808080"/>
        <w:sz w:val="16"/>
        <w:szCs w:val="16"/>
      </w:rPr>
      <w:t>Europejskiego Funduszu Społecznego</w:t>
    </w:r>
    <w:r w:rsidRPr="00F04DF8">
      <w:rPr>
        <w:rFonts w:ascii="Arial" w:hAnsi="Arial" w:cs="Arial"/>
        <w:color w:val="808080"/>
        <w:sz w:val="16"/>
        <w:szCs w:val="16"/>
      </w:rPr>
      <w:br/>
    </w:r>
    <w:r w:rsidRPr="00F04DF8">
      <w:rPr>
        <w:rFonts w:ascii="Verdana" w:hAnsi="Verdana" w:cs="Arial"/>
        <w:color w:val="808080"/>
        <w:sz w:val="16"/>
        <w:szCs w:val="16"/>
      </w:rPr>
      <w:t>w ramach</w:t>
    </w:r>
    <w:r w:rsidRPr="00F04DF8">
      <w:rPr>
        <w:rFonts w:ascii="Arial" w:hAnsi="Arial" w:cs="Arial"/>
        <w:b/>
        <w:color w:val="808080"/>
        <w:sz w:val="16"/>
        <w:szCs w:val="16"/>
      </w:rPr>
      <w:t xml:space="preserve"> </w:t>
    </w:r>
    <w:r w:rsidRPr="00F04DF8">
      <w:rPr>
        <w:rStyle w:val="Pogrubienie"/>
        <w:rFonts w:ascii="Verdana" w:hAnsi="Verdana" w:cs="Arial"/>
        <w:b w:val="0"/>
        <w:color w:val="808080"/>
        <w:sz w:val="16"/>
        <w:szCs w:val="16"/>
      </w:rPr>
      <w:t>Programu Operacyjnego Kapitał Ludzki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97"/>
        </w:tabs>
        <w:ind w:left="397" w:hanging="397"/>
      </w:pPr>
      <w:rPr>
        <w:rFonts w:ascii="Wingdings" w:hAnsi="Wingdings"/>
      </w:rPr>
    </w:lvl>
  </w:abstractNum>
  <w:abstractNum w:abstractNumId="1">
    <w:nsid w:val="01357608"/>
    <w:multiLevelType w:val="hybridMultilevel"/>
    <w:tmpl w:val="DA8820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30458E6"/>
    <w:multiLevelType w:val="hybridMultilevel"/>
    <w:tmpl w:val="5C640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987AAC"/>
    <w:multiLevelType w:val="hybridMultilevel"/>
    <w:tmpl w:val="B82E2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5F667C0"/>
    <w:multiLevelType w:val="hybridMultilevel"/>
    <w:tmpl w:val="15CCA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7C552F9"/>
    <w:multiLevelType w:val="hybridMultilevel"/>
    <w:tmpl w:val="239C6E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8056ABA"/>
    <w:multiLevelType w:val="hybridMultilevel"/>
    <w:tmpl w:val="4C6EA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8887026"/>
    <w:multiLevelType w:val="hybridMultilevel"/>
    <w:tmpl w:val="6C742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AE10FFE"/>
    <w:multiLevelType w:val="hybridMultilevel"/>
    <w:tmpl w:val="62526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BFA2BB1"/>
    <w:multiLevelType w:val="hybridMultilevel"/>
    <w:tmpl w:val="E03E2F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48B5F7F"/>
    <w:multiLevelType w:val="hybridMultilevel"/>
    <w:tmpl w:val="C708FB5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542C38"/>
    <w:multiLevelType w:val="hybridMultilevel"/>
    <w:tmpl w:val="4956D9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A0445CB"/>
    <w:multiLevelType w:val="hybridMultilevel"/>
    <w:tmpl w:val="7F4E5D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A625E30"/>
    <w:multiLevelType w:val="hybridMultilevel"/>
    <w:tmpl w:val="3550C1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11C5B35"/>
    <w:multiLevelType w:val="hybridMultilevel"/>
    <w:tmpl w:val="BA9227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81D2DF7"/>
    <w:multiLevelType w:val="hybridMultilevel"/>
    <w:tmpl w:val="4E76666C"/>
    <w:lvl w:ilvl="0" w:tplc="C6F43BBC">
      <w:start w:val="1"/>
      <w:numFmt w:val="decimal"/>
      <w:lvlText w:val="%1"/>
      <w:lvlJc w:val="center"/>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9A14F9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6B54E1"/>
    <w:multiLevelType w:val="hybridMultilevel"/>
    <w:tmpl w:val="E42E5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01E263C"/>
    <w:multiLevelType w:val="singleLevel"/>
    <w:tmpl w:val="E36C42DC"/>
    <w:lvl w:ilvl="0">
      <w:start w:val="1"/>
      <w:numFmt w:val="bullet"/>
      <w:lvlText w:val=""/>
      <w:lvlJc w:val="left"/>
      <w:pPr>
        <w:tabs>
          <w:tab w:val="num" w:pos="680"/>
        </w:tabs>
        <w:ind w:left="680" w:hanging="680"/>
      </w:pPr>
      <w:rPr>
        <w:rFonts w:ascii="Symbol" w:hAnsi="Symbol" w:hint="default"/>
      </w:rPr>
    </w:lvl>
  </w:abstractNum>
  <w:abstractNum w:abstractNumId="19">
    <w:nsid w:val="3412638C"/>
    <w:multiLevelType w:val="hybridMultilevel"/>
    <w:tmpl w:val="9AB6C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53F7849"/>
    <w:multiLevelType w:val="hybridMultilevel"/>
    <w:tmpl w:val="A0649D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74C1C41"/>
    <w:multiLevelType w:val="hybridMultilevel"/>
    <w:tmpl w:val="5A4EB5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82226CE"/>
    <w:multiLevelType w:val="hybridMultilevel"/>
    <w:tmpl w:val="EEF60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8956047"/>
    <w:multiLevelType w:val="hybridMultilevel"/>
    <w:tmpl w:val="9ADC9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B1D1759"/>
    <w:multiLevelType w:val="hybridMultilevel"/>
    <w:tmpl w:val="F8E070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B933349"/>
    <w:multiLevelType w:val="hybridMultilevel"/>
    <w:tmpl w:val="748693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C513D12"/>
    <w:multiLevelType w:val="hybridMultilevel"/>
    <w:tmpl w:val="3F086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EDB1FEE"/>
    <w:multiLevelType w:val="hybridMultilevel"/>
    <w:tmpl w:val="610A44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3F417298"/>
    <w:multiLevelType w:val="hybridMultilevel"/>
    <w:tmpl w:val="16204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3FE85D7A"/>
    <w:multiLevelType w:val="hybridMultilevel"/>
    <w:tmpl w:val="A066FC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6097F81"/>
    <w:multiLevelType w:val="hybridMultilevel"/>
    <w:tmpl w:val="73781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62B2CEC"/>
    <w:multiLevelType w:val="hybridMultilevel"/>
    <w:tmpl w:val="11C2AF7E"/>
    <w:lvl w:ilvl="0" w:tplc="ED8228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99D3F3E"/>
    <w:multiLevelType w:val="hybridMultilevel"/>
    <w:tmpl w:val="C78848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A6A1B93"/>
    <w:multiLevelType w:val="hybridMultilevel"/>
    <w:tmpl w:val="30FC89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DC6761C"/>
    <w:multiLevelType w:val="hybridMultilevel"/>
    <w:tmpl w:val="B6E27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0340E78"/>
    <w:multiLevelType w:val="hybridMultilevel"/>
    <w:tmpl w:val="67AE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35815EA"/>
    <w:multiLevelType w:val="hybridMultilevel"/>
    <w:tmpl w:val="AA6A2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572A3C22"/>
    <w:multiLevelType w:val="hybridMultilevel"/>
    <w:tmpl w:val="4ED0F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B562C6B"/>
    <w:multiLevelType w:val="hybridMultilevel"/>
    <w:tmpl w:val="6AEAF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2F633B8"/>
    <w:multiLevelType w:val="hybridMultilevel"/>
    <w:tmpl w:val="B76E8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4567C25"/>
    <w:multiLevelType w:val="hybridMultilevel"/>
    <w:tmpl w:val="DE587140"/>
    <w:lvl w:ilvl="0" w:tplc="ED8228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6A227617"/>
    <w:multiLevelType w:val="hybridMultilevel"/>
    <w:tmpl w:val="2FC28B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C036D52"/>
    <w:multiLevelType w:val="hybridMultilevel"/>
    <w:tmpl w:val="53E27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F7355CF"/>
    <w:multiLevelType w:val="hybridMultilevel"/>
    <w:tmpl w:val="371EF8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30853E9"/>
    <w:multiLevelType w:val="hybridMultilevel"/>
    <w:tmpl w:val="92F404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3222E29"/>
    <w:multiLevelType w:val="hybridMultilevel"/>
    <w:tmpl w:val="150CF0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9324556"/>
    <w:multiLevelType w:val="hybridMultilevel"/>
    <w:tmpl w:val="5BDED3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C6D2BDC"/>
    <w:multiLevelType w:val="hybridMultilevel"/>
    <w:tmpl w:val="B3BE2E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7CD71C77"/>
    <w:multiLevelType w:val="hybridMultilevel"/>
    <w:tmpl w:val="6A0E1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1F3A8D"/>
    <w:multiLevelType w:val="hybridMultilevel"/>
    <w:tmpl w:val="F73205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0"/>
  </w:num>
  <w:num w:numId="4">
    <w:abstractNumId w:val="11"/>
  </w:num>
  <w:num w:numId="5">
    <w:abstractNumId w:val="46"/>
  </w:num>
  <w:num w:numId="6">
    <w:abstractNumId w:val="47"/>
  </w:num>
  <w:num w:numId="7">
    <w:abstractNumId w:val="34"/>
  </w:num>
  <w:num w:numId="8">
    <w:abstractNumId w:val="22"/>
  </w:num>
  <w:num w:numId="9">
    <w:abstractNumId w:val="27"/>
  </w:num>
  <w:num w:numId="10">
    <w:abstractNumId w:val="42"/>
  </w:num>
  <w:num w:numId="11">
    <w:abstractNumId w:val="33"/>
  </w:num>
  <w:num w:numId="12">
    <w:abstractNumId w:val="24"/>
  </w:num>
  <w:num w:numId="13">
    <w:abstractNumId w:val="29"/>
  </w:num>
  <w:num w:numId="14">
    <w:abstractNumId w:val="45"/>
  </w:num>
  <w:num w:numId="15">
    <w:abstractNumId w:val="28"/>
  </w:num>
  <w:num w:numId="16">
    <w:abstractNumId w:val="13"/>
  </w:num>
  <w:num w:numId="17">
    <w:abstractNumId w:val="38"/>
  </w:num>
  <w:num w:numId="18">
    <w:abstractNumId w:val="14"/>
  </w:num>
  <w:num w:numId="19">
    <w:abstractNumId w:val="25"/>
  </w:num>
  <w:num w:numId="20">
    <w:abstractNumId w:val="35"/>
  </w:num>
  <w:num w:numId="21">
    <w:abstractNumId w:val="8"/>
  </w:num>
  <w:num w:numId="22">
    <w:abstractNumId w:val="3"/>
  </w:num>
  <w:num w:numId="23">
    <w:abstractNumId w:val="6"/>
  </w:num>
  <w:num w:numId="24">
    <w:abstractNumId w:val="5"/>
  </w:num>
  <w:num w:numId="25">
    <w:abstractNumId w:val="48"/>
  </w:num>
  <w:num w:numId="26">
    <w:abstractNumId w:val="7"/>
  </w:num>
  <w:num w:numId="27">
    <w:abstractNumId w:val="10"/>
  </w:num>
  <w:num w:numId="28">
    <w:abstractNumId w:val="15"/>
  </w:num>
  <w:num w:numId="29">
    <w:abstractNumId w:val="44"/>
  </w:num>
  <w:num w:numId="30">
    <w:abstractNumId w:val="18"/>
  </w:num>
  <w:num w:numId="31">
    <w:abstractNumId w:val="17"/>
  </w:num>
  <w:num w:numId="32">
    <w:abstractNumId w:val="37"/>
  </w:num>
  <w:num w:numId="33">
    <w:abstractNumId w:val="12"/>
  </w:num>
  <w:num w:numId="34">
    <w:abstractNumId w:val="2"/>
  </w:num>
  <w:num w:numId="35">
    <w:abstractNumId w:val="20"/>
  </w:num>
  <w:num w:numId="36">
    <w:abstractNumId w:val="1"/>
  </w:num>
  <w:num w:numId="37">
    <w:abstractNumId w:val="39"/>
  </w:num>
  <w:num w:numId="38">
    <w:abstractNumId w:val="21"/>
  </w:num>
  <w:num w:numId="39">
    <w:abstractNumId w:val="4"/>
  </w:num>
  <w:num w:numId="40">
    <w:abstractNumId w:val="26"/>
  </w:num>
  <w:num w:numId="41">
    <w:abstractNumId w:val="36"/>
  </w:num>
  <w:num w:numId="42">
    <w:abstractNumId w:val="23"/>
  </w:num>
  <w:num w:numId="43">
    <w:abstractNumId w:val="43"/>
  </w:num>
  <w:num w:numId="44">
    <w:abstractNumId w:val="19"/>
  </w:num>
  <w:num w:numId="45">
    <w:abstractNumId w:val="49"/>
  </w:num>
  <w:num w:numId="46">
    <w:abstractNumId w:val="41"/>
  </w:num>
  <w:num w:numId="47">
    <w:abstractNumId w:val="31"/>
  </w:num>
  <w:num w:numId="48">
    <w:abstractNumId w:val="40"/>
  </w:num>
  <w:num w:numId="49">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rawingGridHorizontalSpacing w:val="120"/>
  <w:displayHorizontalDrawingGridEvery w:val="2"/>
  <w:characterSpacingControl w:val="doNotCompress"/>
  <w:hdrShapeDefaults>
    <o:shapedefaults v:ext="edit" spidmax="107522"/>
    <o:shapelayout v:ext="edit">
      <o:idmap v:ext="edit" data="2"/>
    </o:shapelayout>
  </w:hdrShapeDefaults>
  <w:footnotePr>
    <w:footnote w:id="0"/>
    <w:footnote w:id="1"/>
  </w:footnotePr>
  <w:endnotePr>
    <w:endnote w:id="0"/>
    <w:endnote w:id="1"/>
  </w:endnotePr>
  <w:compat/>
  <w:rsids>
    <w:rsidRoot w:val="00810D20"/>
    <w:rsid w:val="00002BDE"/>
    <w:rsid w:val="000065C7"/>
    <w:rsid w:val="0000664E"/>
    <w:rsid w:val="000067FA"/>
    <w:rsid w:val="00016D2F"/>
    <w:rsid w:val="00022E66"/>
    <w:rsid w:val="000248F6"/>
    <w:rsid w:val="00030DA7"/>
    <w:rsid w:val="0003372A"/>
    <w:rsid w:val="00034B65"/>
    <w:rsid w:val="00040082"/>
    <w:rsid w:val="00044221"/>
    <w:rsid w:val="0004489D"/>
    <w:rsid w:val="00046E53"/>
    <w:rsid w:val="000510C7"/>
    <w:rsid w:val="000532D6"/>
    <w:rsid w:val="00053BA3"/>
    <w:rsid w:val="00055FC0"/>
    <w:rsid w:val="000562E7"/>
    <w:rsid w:val="000563D4"/>
    <w:rsid w:val="00061278"/>
    <w:rsid w:val="0006696D"/>
    <w:rsid w:val="00072369"/>
    <w:rsid w:val="00073B83"/>
    <w:rsid w:val="00074CDC"/>
    <w:rsid w:val="000814F7"/>
    <w:rsid w:val="000815AD"/>
    <w:rsid w:val="0008207A"/>
    <w:rsid w:val="00084E78"/>
    <w:rsid w:val="00084FED"/>
    <w:rsid w:val="000854A6"/>
    <w:rsid w:val="000865B9"/>
    <w:rsid w:val="0009248B"/>
    <w:rsid w:val="000946FB"/>
    <w:rsid w:val="000972D2"/>
    <w:rsid w:val="0009758A"/>
    <w:rsid w:val="000A1059"/>
    <w:rsid w:val="000A1556"/>
    <w:rsid w:val="000A5751"/>
    <w:rsid w:val="000A691B"/>
    <w:rsid w:val="000A71C8"/>
    <w:rsid w:val="000B690C"/>
    <w:rsid w:val="000B6B05"/>
    <w:rsid w:val="000B6C16"/>
    <w:rsid w:val="000C3BB9"/>
    <w:rsid w:val="000C5B1D"/>
    <w:rsid w:val="000C5BCE"/>
    <w:rsid w:val="000C799F"/>
    <w:rsid w:val="000D1233"/>
    <w:rsid w:val="000D1F2E"/>
    <w:rsid w:val="000D7A99"/>
    <w:rsid w:val="000E22A4"/>
    <w:rsid w:val="000E44BA"/>
    <w:rsid w:val="000F04B2"/>
    <w:rsid w:val="000F3CAD"/>
    <w:rsid w:val="000F6D78"/>
    <w:rsid w:val="000F7C7D"/>
    <w:rsid w:val="00101FF4"/>
    <w:rsid w:val="001049EB"/>
    <w:rsid w:val="00104B85"/>
    <w:rsid w:val="00104F1F"/>
    <w:rsid w:val="00117EB2"/>
    <w:rsid w:val="001208CA"/>
    <w:rsid w:val="00121B9B"/>
    <w:rsid w:val="00123EB4"/>
    <w:rsid w:val="00124130"/>
    <w:rsid w:val="00124E18"/>
    <w:rsid w:val="0013099B"/>
    <w:rsid w:val="001317AE"/>
    <w:rsid w:val="001362CC"/>
    <w:rsid w:val="00136F34"/>
    <w:rsid w:val="001417DC"/>
    <w:rsid w:val="00142EF7"/>
    <w:rsid w:val="001446F0"/>
    <w:rsid w:val="00151610"/>
    <w:rsid w:val="00153488"/>
    <w:rsid w:val="0015454E"/>
    <w:rsid w:val="00155C94"/>
    <w:rsid w:val="0015605E"/>
    <w:rsid w:val="00157A9C"/>
    <w:rsid w:val="00157FD0"/>
    <w:rsid w:val="00162714"/>
    <w:rsid w:val="0016293F"/>
    <w:rsid w:val="00164C4D"/>
    <w:rsid w:val="0016774C"/>
    <w:rsid w:val="00170BCB"/>
    <w:rsid w:val="00171A21"/>
    <w:rsid w:val="00175D27"/>
    <w:rsid w:val="001861E0"/>
    <w:rsid w:val="00187761"/>
    <w:rsid w:val="001917BC"/>
    <w:rsid w:val="00195696"/>
    <w:rsid w:val="001A06A7"/>
    <w:rsid w:val="001A2BD1"/>
    <w:rsid w:val="001A7CC0"/>
    <w:rsid w:val="001B1ABD"/>
    <w:rsid w:val="001B275C"/>
    <w:rsid w:val="001B3EA9"/>
    <w:rsid w:val="001C12A7"/>
    <w:rsid w:val="001C3901"/>
    <w:rsid w:val="001D220D"/>
    <w:rsid w:val="001D365D"/>
    <w:rsid w:val="001D4CE5"/>
    <w:rsid w:val="001D5F23"/>
    <w:rsid w:val="001D6921"/>
    <w:rsid w:val="001E11AD"/>
    <w:rsid w:val="001E3D2B"/>
    <w:rsid w:val="001E3E35"/>
    <w:rsid w:val="001E5BA5"/>
    <w:rsid w:val="001E68A5"/>
    <w:rsid w:val="001F24B2"/>
    <w:rsid w:val="001F32EC"/>
    <w:rsid w:val="001F3F1C"/>
    <w:rsid w:val="001F670C"/>
    <w:rsid w:val="002011E5"/>
    <w:rsid w:val="002044C9"/>
    <w:rsid w:val="00211558"/>
    <w:rsid w:val="00214C84"/>
    <w:rsid w:val="00216782"/>
    <w:rsid w:val="00223698"/>
    <w:rsid w:val="00225D4F"/>
    <w:rsid w:val="00227474"/>
    <w:rsid w:val="00236175"/>
    <w:rsid w:val="002404E3"/>
    <w:rsid w:val="002408DA"/>
    <w:rsid w:val="002417C5"/>
    <w:rsid w:val="00244AB0"/>
    <w:rsid w:val="00246D28"/>
    <w:rsid w:val="002474EF"/>
    <w:rsid w:val="00254898"/>
    <w:rsid w:val="00257572"/>
    <w:rsid w:val="00257FD1"/>
    <w:rsid w:val="002637F4"/>
    <w:rsid w:val="00265364"/>
    <w:rsid w:val="00267AC8"/>
    <w:rsid w:val="00270B39"/>
    <w:rsid w:val="0028425B"/>
    <w:rsid w:val="00290167"/>
    <w:rsid w:val="002934ED"/>
    <w:rsid w:val="002943DB"/>
    <w:rsid w:val="0029472F"/>
    <w:rsid w:val="00295383"/>
    <w:rsid w:val="002A0166"/>
    <w:rsid w:val="002A1E86"/>
    <w:rsid w:val="002A44DF"/>
    <w:rsid w:val="002A4F81"/>
    <w:rsid w:val="002B0857"/>
    <w:rsid w:val="002B1E3B"/>
    <w:rsid w:val="002B3308"/>
    <w:rsid w:val="002B5E76"/>
    <w:rsid w:val="002C14F8"/>
    <w:rsid w:val="002C6F67"/>
    <w:rsid w:val="002D044D"/>
    <w:rsid w:val="002D28EF"/>
    <w:rsid w:val="002D3929"/>
    <w:rsid w:val="002D3AEB"/>
    <w:rsid w:val="002D4B23"/>
    <w:rsid w:val="002E0A52"/>
    <w:rsid w:val="002E312F"/>
    <w:rsid w:val="002E5765"/>
    <w:rsid w:val="002E6D83"/>
    <w:rsid w:val="002F0A89"/>
    <w:rsid w:val="002F11B0"/>
    <w:rsid w:val="002F3746"/>
    <w:rsid w:val="002F49C2"/>
    <w:rsid w:val="002F4B2F"/>
    <w:rsid w:val="002F50F7"/>
    <w:rsid w:val="0030186D"/>
    <w:rsid w:val="0030626F"/>
    <w:rsid w:val="00306E0C"/>
    <w:rsid w:val="00310D9B"/>
    <w:rsid w:val="0031589F"/>
    <w:rsid w:val="00317B05"/>
    <w:rsid w:val="003203C3"/>
    <w:rsid w:val="00320B85"/>
    <w:rsid w:val="003224F8"/>
    <w:rsid w:val="0032313B"/>
    <w:rsid w:val="0032596B"/>
    <w:rsid w:val="00327549"/>
    <w:rsid w:val="00330585"/>
    <w:rsid w:val="00330EF0"/>
    <w:rsid w:val="00331A37"/>
    <w:rsid w:val="00334026"/>
    <w:rsid w:val="003342B0"/>
    <w:rsid w:val="00334D6E"/>
    <w:rsid w:val="00334EF5"/>
    <w:rsid w:val="00337F94"/>
    <w:rsid w:val="00340D85"/>
    <w:rsid w:val="0034292D"/>
    <w:rsid w:val="00344022"/>
    <w:rsid w:val="003451FE"/>
    <w:rsid w:val="00350252"/>
    <w:rsid w:val="00350D38"/>
    <w:rsid w:val="00354589"/>
    <w:rsid w:val="00354F25"/>
    <w:rsid w:val="0035646F"/>
    <w:rsid w:val="003616F2"/>
    <w:rsid w:val="003663EB"/>
    <w:rsid w:val="0037001F"/>
    <w:rsid w:val="003719E0"/>
    <w:rsid w:val="00387336"/>
    <w:rsid w:val="0039022D"/>
    <w:rsid w:val="00390929"/>
    <w:rsid w:val="00391184"/>
    <w:rsid w:val="0039174D"/>
    <w:rsid w:val="00391A6C"/>
    <w:rsid w:val="0039389A"/>
    <w:rsid w:val="00397155"/>
    <w:rsid w:val="003A21E0"/>
    <w:rsid w:val="003A2582"/>
    <w:rsid w:val="003A32B1"/>
    <w:rsid w:val="003A5761"/>
    <w:rsid w:val="003A5F08"/>
    <w:rsid w:val="003A77C9"/>
    <w:rsid w:val="003A7BAE"/>
    <w:rsid w:val="003B5718"/>
    <w:rsid w:val="003B63AA"/>
    <w:rsid w:val="003C16C7"/>
    <w:rsid w:val="003D60EE"/>
    <w:rsid w:val="003E0BB9"/>
    <w:rsid w:val="003F53E6"/>
    <w:rsid w:val="003F5E05"/>
    <w:rsid w:val="003F66D6"/>
    <w:rsid w:val="003F7EC2"/>
    <w:rsid w:val="004014E6"/>
    <w:rsid w:val="00403BFB"/>
    <w:rsid w:val="00405ABA"/>
    <w:rsid w:val="00413EC2"/>
    <w:rsid w:val="00415F9A"/>
    <w:rsid w:val="004170B7"/>
    <w:rsid w:val="00417124"/>
    <w:rsid w:val="00421EA4"/>
    <w:rsid w:val="0042353D"/>
    <w:rsid w:val="00426AFF"/>
    <w:rsid w:val="00427B37"/>
    <w:rsid w:val="00427FE4"/>
    <w:rsid w:val="0043194D"/>
    <w:rsid w:val="004352CA"/>
    <w:rsid w:val="00436341"/>
    <w:rsid w:val="004409B9"/>
    <w:rsid w:val="00443180"/>
    <w:rsid w:val="00443276"/>
    <w:rsid w:val="00445AB2"/>
    <w:rsid w:val="00447D1D"/>
    <w:rsid w:val="00451082"/>
    <w:rsid w:val="00451408"/>
    <w:rsid w:val="00457D61"/>
    <w:rsid w:val="004610F9"/>
    <w:rsid w:val="00463253"/>
    <w:rsid w:val="00464392"/>
    <w:rsid w:val="0046541F"/>
    <w:rsid w:val="00465769"/>
    <w:rsid w:val="00466982"/>
    <w:rsid w:val="00467127"/>
    <w:rsid w:val="004709E3"/>
    <w:rsid w:val="004711F4"/>
    <w:rsid w:val="004717D3"/>
    <w:rsid w:val="00472665"/>
    <w:rsid w:val="00472B5B"/>
    <w:rsid w:val="00473C41"/>
    <w:rsid w:val="004756B5"/>
    <w:rsid w:val="00476127"/>
    <w:rsid w:val="00482BE3"/>
    <w:rsid w:val="00492EE8"/>
    <w:rsid w:val="004952BE"/>
    <w:rsid w:val="004955AC"/>
    <w:rsid w:val="0049649B"/>
    <w:rsid w:val="00497DAA"/>
    <w:rsid w:val="004A20A7"/>
    <w:rsid w:val="004A24CA"/>
    <w:rsid w:val="004A51E1"/>
    <w:rsid w:val="004B0B23"/>
    <w:rsid w:val="004B10CE"/>
    <w:rsid w:val="004B5441"/>
    <w:rsid w:val="004D4C6B"/>
    <w:rsid w:val="004D5193"/>
    <w:rsid w:val="004D7B99"/>
    <w:rsid w:val="004E080B"/>
    <w:rsid w:val="004E11D3"/>
    <w:rsid w:val="004E130F"/>
    <w:rsid w:val="004E2B6F"/>
    <w:rsid w:val="004E5A9A"/>
    <w:rsid w:val="004F17B1"/>
    <w:rsid w:val="004F1FD4"/>
    <w:rsid w:val="004F52E8"/>
    <w:rsid w:val="004F62DB"/>
    <w:rsid w:val="004F6882"/>
    <w:rsid w:val="005009B6"/>
    <w:rsid w:val="00500BF4"/>
    <w:rsid w:val="00501729"/>
    <w:rsid w:val="005019D9"/>
    <w:rsid w:val="00501E9E"/>
    <w:rsid w:val="0051248B"/>
    <w:rsid w:val="00512F3B"/>
    <w:rsid w:val="00513CF9"/>
    <w:rsid w:val="005168DE"/>
    <w:rsid w:val="005201B3"/>
    <w:rsid w:val="0052220D"/>
    <w:rsid w:val="00522CA1"/>
    <w:rsid w:val="00523F2B"/>
    <w:rsid w:val="00524758"/>
    <w:rsid w:val="0052576D"/>
    <w:rsid w:val="00530601"/>
    <w:rsid w:val="00530941"/>
    <w:rsid w:val="00535277"/>
    <w:rsid w:val="005433B6"/>
    <w:rsid w:val="00544ED0"/>
    <w:rsid w:val="005453DA"/>
    <w:rsid w:val="005456B3"/>
    <w:rsid w:val="00547B11"/>
    <w:rsid w:val="00551DB0"/>
    <w:rsid w:val="005567C5"/>
    <w:rsid w:val="00560D46"/>
    <w:rsid w:val="005612E8"/>
    <w:rsid w:val="005643A4"/>
    <w:rsid w:val="005723B5"/>
    <w:rsid w:val="0057555A"/>
    <w:rsid w:val="005859D8"/>
    <w:rsid w:val="0059196A"/>
    <w:rsid w:val="00592BF7"/>
    <w:rsid w:val="005945E0"/>
    <w:rsid w:val="005950E7"/>
    <w:rsid w:val="00595E36"/>
    <w:rsid w:val="005961E5"/>
    <w:rsid w:val="005A00F8"/>
    <w:rsid w:val="005A097B"/>
    <w:rsid w:val="005A0CA7"/>
    <w:rsid w:val="005A11DD"/>
    <w:rsid w:val="005A1736"/>
    <w:rsid w:val="005A3EE4"/>
    <w:rsid w:val="005A616C"/>
    <w:rsid w:val="005A76CB"/>
    <w:rsid w:val="005B158B"/>
    <w:rsid w:val="005B1628"/>
    <w:rsid w:val="005B1D2E"/>
    <w:rsid w:val="005B287D"/>
    <w:rsid w:val="005B5943"/>
    <w:rsid w:val="005B6174"/>
    <w:rsid w:val="005C0060"/>
    <w:rsid w:val="005C2698"/>
    <w:rsid w:val="005C79B3"/>
    <w:rsid w:val="005D172C"/>
    <w:rsid w:val="005D19E3"/>
    <w:rsid w:val="005D4BF8"/>
    <w:rsid w:val="005E0EAE"/>
    <w:rsid w:val="005E1F88"/>
    <w:rsid w:val="005E23AE"/>
    <w:rsid w:val="005E7B47"/>
    <w:rsid w:val="005F0523"/>
    <w:rsid w:val="005F45FA"/>
    <w:rsid w:val="005F5F36"/>
    <w:rsid w:val="005F6C2D"/>
    <w:rsid w:val="005F73EE"/>
    <w:rsid w:val="006020D0"/>
    <w:rsid w:val="00602164"/>
    <w:rsid w:val="00603802"/>
    <w:rsid w:val="00603C41"/>
    <w:rsid w:val="00606DED"/>
    <w:rsid w:val="0061347F"/>
    <w:rsid w:val="006136BE"/>
    <w:rsid w:val="0061455B"/>
    <w:rsid w:val="00614BF3"/>
    <w:rsid w:val="00620620"/>
    <w:rsid w:val="00623E9B"/>
    <w:rsid w:val="0062536B"/>
    <w:rsid w:val="006277F0"/>
    <w:rsid w:val="00631425"/>
    <w:rsid w:val="00636FAA"/>
    <w:rsid w:val="00637850"/>
    <w:rsid w:val="00644722"/>
    <w:rsid w:val="00645D4B"/>
    <w:rsid w:val="0064655B"/>
    <w:rsid w:val="006467E3"/>
    <w:rsid w:val="006475E6"/>
    <w:rsid w:val="006537B8"/>
    <w:rsid w:val="00653CFC"/>
    <w:rsid w:val="00661EE6"/>
    <w:rsid w:val="00661F53"/>
    <w:rsid w:val="00662F03"/>
    <w:rsid w:val="00663156"/>
    <w:rsid w:val="00665FD4"/>
    <w:rsid w:val="0066782A"/>
    <w:rsid w:val="00670C41"/>
    <w:rsid w:val="006728BA"/>
    <w:rsid w:val="00672E31"/>
    <w:rsid w:val="006751C8"/>
    <w:rsid w:val="0068602F"/>
    <w:rsid w:val="006A0CD1"/>
    <w:rsid w:val="006A1A22"/>
    <w:rsid w:val="006A1ADF"/>
    <w:rsid w:val="006A6568"/>
    <w:rsid w:val="006B1FB3"/>
    <w:rsid w:val="006B347D"/>
    <w:rsid w:val="006B5053"/>
    <w:rsid w:val="006B653C"/>
    <w:rsid w:val="006C1C0B"/>
    <w:rsid w:val="006C733F"/>
    <w:rsid w:val="006C7BBF"/>
    <w:rsid w:val="006D4046"/>
    <w:rsid w:val="006D475C"/>
    <w:rsid w:val="006D4975"/>
    <w:rsid w:val="006D5E5C"/>
    <w:rsid w:val="006D6160"/>
    <w:rsid w:val="006D7B09"/>
    <w:rsid w:val="006E0798"/>
    <w:rsid w:val="006E10D2"/>
    <w:rsid w:val="006E3372"/>
    <w:rsid w:val="006E3D2E"/>
    <w:rsid w:val="006E41CC"/>
    <w:rsid w:val="006E4C3C"/>
    <w:rsid w:val="006E5F24"/>
    <w:rsid w:val="006E6068"/>
    <w:rsid w:val="006E623E"/>
    <w:rsid w:val="006E70AA"/>
    <w:rsid w:val="006F1739"/>
    <w:rsid w:val="006F223E"/>
    <w:rsid w:val="006F4163"/>
    <w:rsid w:val="006F57F1"/>
    <w:rsid w:val="006F5F79"/>
    <w:rsid w:val="006F631E"/>
    <w:rsid w:val="006F7A58"/>
    <w:rsid w:val="007005CB"/>
    <w:rsid w:val="00703F23"/>
    <w:rsid w:val="007049F8"/>
    <w:rsid w:val="007105FB"/>
    <w:rsid w:val="00713615"/>
    <w:rsid w:val="00713F35"/>
    <w:rsid w:val="00716961"/>
    <w:rsid w:val="0072145F"/>
    <w:rsid w:val="00721A36"/>
    <w:rsid w:val="00723916"/>
    <w:rsid w:val="007243D4"/>
    <w:rsid w:val="007256D3"/>
    <w:rsid w:val="00727181"/>
    <w:rsid w:val="00727D33"/>
    <w:rsid w:val="00730770"/>
    <w:rsid w:val="00730AA0"/>
    <w:rsid w:val="00731BC8"/>
    <w:rsid w:val="00736464"/>
    <w:rsid w:val="00736857"/>
    <w:rsid w:val="0074250E"/>
    <w:rsid w:val="00744D19"/>
    <w:rsid w:val="00745086"/>
    <w:rsid w:val="00746216"/>
    <w:rsid w:val="00746299"/>
    <w:rsid w:val="00747296"/>
    <w:rsid w:val="00750425"/>
    <w:rsid w:val="00752000"/>
    <w:rsid w:val="00752322"/>
    <w:rsid w:val="00763EE5"/>
    <w:rsid w:val="007671B5"/>
    <w:rsid w:val="00771503"/>
    <w:rsid w:val="00775778"/>
    <w:rsid w:val="007801E8"/>
    <w:rsid w:val="00781B30"/>
    <w:rsid w:val="00781BD6"/>
    <w:rsid w:val="007823AD"/>
    <w:rsid w:val="007844A9"/>
    <w:rsid w:val="0078532F"/>
    <w:rsid w:val="00785899"/>
    <w:rsid w:val="0079557E"/>
    <w:rsid w:val="00796E2E"/>
    <w:rsid w:val="00797B4A"/>
    <w:rsid w:val="007A0585"/>
    <w:rsid w:val="007A355A"/>
    <w:rsid w:val="007B1780"/>
    <w:rsid w:val="007B234F"/>
    <w:rsid w:val="007B67D9"/>
    <w:rsid w:val="007C3B2D"/>
    <w:rsid w:val="007D24D1"/>
    <w:rsid w:val="007D447A"/>
    <w:rsid w:val="007D559F"/>
    <w:rsid w:val="007D6524"/>
    <w:rsid w:val="007E1484"/>
    <w:rsid w:val="007E1665"/>
    <w:rsid w:val="007E4FC2"/>
    <w:rsid w:val="007F2226"/>
    <w:rsid w:val="007F5FC1"/>
    <w:rsid w:val="007F77A4"/>
    <w:rsid w:val="008006C5"/>
    <w:rsid w:val="00802D4C"/>
    <w:rsid w:val="0080460A"/>
    <w:rsid w:val="00807205"/>
    <w:rsid w:val="00807215"/>
    <w:rsid w:val="00807876"/>
    <w:rsid w:val="00810D20"/>
    <w:rsid w:val="00815BD8"/>
    <w:rsid w:val="00820775"/>
    <w:rsid w:val="008217AA"/>
    <w:rsid w:val="00822435"/>
    <w:rsid w:val="00822F0A"/>
    <w:rsid w:val="00825310"/>
    <w:rsid w:val="00835A51"/>
    <w:rsid w:val="00836E0B"/>
    <w:rsid w:val="00840BA2"/>
    <w:rsid w:val="0084383A"/>
    <w:rsid w:val="00850D90"/>
    <w:rsid w:val="008513B6"/>
    <w:rsid w:val="008522CD"/>
    <w:rsid w:val="00853ED8"/>
    <w:rsid w:val="00856BD1"/>
    <w:rsid w:val="008613D8"/>
    <w:rsid w:val="008624A3"/>
    <w:rsid w:val="00867659"/>
    <w:rsid w:val="00873AF8"/>
    <w:rsid w:val="008753D5"/>
    <w:rsid w:val="008812D7"/>
    <w:rsid w:val="00881D65"/>
    <w:rsid w:val="00882E30"/>
    <w:rsid w:val="008844EC"/>
    <w:rsid w:val="00893CB8"/>
    <w:rsid w:val="00896798"/>
    <w:rsid w:val="00897550"/>
    <w:rsid w:val="008A2B43"/>
    <w:rsid w:val="008A39A5"/>
    <w:rsid w:val="008A4A2D"/>
    <w:rsid w:val="008A508C"/>
    <w:rsid w:val="008A71D1"/>
    <w:rsid w:val="008A73FC"/>
    <w:rsid w:val="008B1071"/>
    <w:rsid w:val="008B1217"/>
    <w:rsid w:val="008B30A7"/>
    <w:rsid w:val="008B39C9"/>
    <w:rsid w:val="008C00E4"/>
    <w:rsid w:val="008C04B0"/>
    <w:rsid w:val="008C210D"/>
    <w:rsid w:val="008C3484"/>
    <w:rsid w:val="008C5349"/>
    <w:rsid w:val="008C5511"/>
    <w:rsid w:val="008C778B"/>
    <w:rsid w:val="008D0B5E"/>
    <w:rsid w:val="008D1455"/>
    <w:rsid w:val="008D2D0B"/>
    <w:rsid w:val="008D4D28"/>
    <w:rsid w:val="008D6428"/>
    <w:rsid w:val="008E1F32"/>
    <w:rsid w:val="008E2332"/>
    <w:rsid w:val="008E3983"/>
    <w:rsid w:val="008E3DFC"/>
    <w:rsid w:val="008E4659"/>
    <w:rsid w:val="008E48A1"/>
    <w:rsid w:val="008E5636"/>
    <w:rsid w:val="008F40F8"/>
    <w:rsid w:val="008F4F1E"/>
    <w:rsid w:val="008F52F1"/>
    <w:rsid w:val="008F71A1"/>
    <w:rsid w:val="0090142A"/>
    <w:rsid w:val="00904C0B"/>
    <w:rsid w:val="00904DB6"/>
    <w:rsid w:val="00905236"/>
    <w:rsid w:val="009058DE"/>
    <w:rsid w:val="00912D57"/>
    <w:rsid w:val="009155D2"/>
    <w:rsid w:val="009162E2"/>
    <w:rsid w:val="00916895"/>
    <w:rsid w:val="00920425"/>
    <w:rsid w:val="00922AAA"/>
    <w:rsid w:val="00926721"/>
    <w:rsid w:val="00926EA5"/>
    <w:rsid w:val="0092716D"/>
    <w:rsid w:val="00927477"/>
    <w:rsid w:val="00927627"/>
    <w:rsid w:val="00931CBE"/>
    <w:rsid w:val="00936B21"/>
    <w:rsid w:val="009407DE"/>
    <w:rsid w:val="00943E84"/>
    <w:rsid w:val="009507EF"/>
    <w:rsid w:val="009537CD"/>
    <w:rsid w:val="0096057E"/>
    <w:rsid w:val="009617A6"/>
    <w:rsid w:val="00964C2A"/>
    <w:rsid w:val="0096527A"/>
    <w:rsid w:val="00970644"/>
    <w:rsid w:val="009710A4"/>
    <w:rsid w:val="0097121C"/>
    <w:rsid w:val="0097472E"/>
    <w:rsid w:val="00974FE3"/>
    <w:rsid w:val="00984EC0"/>
    <w:rsid w:val="00985B5C"/>
    <w:rsid w:val="00995D15"/>
    <w:rsid w:val="00996028"/>
    <w:rsid w:val="009A0A46"/>
    <w:rsid w:val="009A2403"/>
    <w:rsid w:val="009B2760"/>
    <w:rsid w:val="009B7846"/>
    <w:rsid w:val="009C019F"/>
    <w:rsid w:val="009C03C5"/>
    <w:rsid w:val="009C1500"/>
    <w:rsid w:val="009C1E76"/>
    <w:rsid w:val="009C26D3"/>
    <w:rsid w:val="009C3763"/>
    <w:rsid w:val="009C4DDB"/>
    <w:rsid w:val="009C7182"/>
    <w:rsid w:val="009C7F5F"/>
    <w:rsid w:val="009D2524"/>
    <w:rsid w:val="009D2B2C"/>
    <w:rsid w:val="009D30CF"/>
    <w:rsid w:val="009D5861"/>
    <w:rsid w:val="009D5A49"/>
    <w:rsid w:val="009E02A8"/>
    <w:rsid w:val="009E4642"/>
    <w:rsid w:val="009E4FA2"/>
    <w:rsid w:val="009E5498"/>
    <w:rsid w:val="009F1132"/>
    <w:rsid w:val="00A050E1"/>
    <w:rsid w:val="00A05146"/>
    <w:rsid w:val="00A05AE1"/>
    <w:rsid w:val="00A06337"/>
    <w:rsid w:val="00A06C34"/>
    <w:rsid w:val="00A06D2A"/>
    <w:rsid w:val="00A1023D"/>
    <w:rsid w:val="00A1115A"/>
    <w:rsid w:val="00A14ED9"/>
    <w:rsid w:val="00A15F8F"/>
    <w:rsid w:val="00A246DF"/>
    <w:rsid w:val="00A319AB"/>
    <w:rsid w:val="00A348F7"/>
    <w:rsid w:val="00A34DD1"/>
    <w:rsid w:val="00A367DE"/>
    <w:rsid w:val="00A3749D"/>
    <w:rsid w:val="00A41FD4"/>
    <w:rsid w:val="00A42DCD"/>
    <w:rsid w:val="00A4427C"/>
    <w:rsid w:val="00A5153A"/>
    <w:rsid w:val="00A52CE4"/>
    <w:rsid w:val="00A53D28"/>
    <w:rsid w:val="00A56F0E"/>
    <w:rsid w:val="00A63C86"/>
    <w:rsid w:val="00A6784E"/>
    <w:rsid w:val="00A72E5F"/>
    <w:rsid w:val="00A732F9"/>
    <w:rsid w:val="00A73897"/>
    <w:rsid w:val="00A73903"/>
    <w:rsid w:val="00A77DEA"/>
    <w:rsid w:val="00A85180"/>
    <w:rsid w:val="00A85539"/>
    <w:rsid w:val="00A85AD5"/>
    <w:rsid w:val="00A85D6C"/>
    <w:rsid w:val="00A9393D"/>
    <w:rsid w:val="00A97776"/>
    <w:rsid w:val="00AA21BF"/>
    <w:rsid w:val="00AA2CE0"/>
    <w:rsid w:val="00AA32B2"/>
    <w:rsid w:val="00AA38D1"/>
    <w:rsid w:val="00AA53A5"/>
    <w:rsid w:val="00AA7322"/>
    <w:rsid w:val="00AA7C94"/>
    <w:rsid w:val="00AB074F"/>
    <w:rsid w:val="00AB0DC6"/>
    <w:rsid w:val="00AB1639"/>
    <w:rsid w:val="00AC259A"/>
    <w:rsid w:val="00AC2CFD"/>
    <w:rsid w:val="00AC314D"/>
    <w:rsid w:val="00AC3441"/>
    <w:rsid w:val="00AC6D13"/>
    <w:rsid w:val="00AD203B"/>
    <w:rsid w:val="00AD2C0B"/>
    <w:rsid w:val="00AD4624"/>
    <w:rsid w:val="00AD549C"/>
    <w:rsid w:val="00AD6143"/>
    <w:rsid w:val="00AE2580"/>
    <w:rsid w:val="00AE32DF"/>
    <w:rsid w:val="00AE4C02"/>
    <w:rsid w:val="00AE50C3"/>
    <w:rsid w:val="00AE5B7B"/>
    <w:rsid w:val="00AE6075"/>
    <w:rsid w:val="00AE7FA8"/>
    <w:rsid w:val="00AF5288"/>
    <w:rsid w:val="00AF6889"/>
    <w:rsid w:val="00AF7482"/>
    <w:rsid w:val="00AF7BB4"/>
    <w:rsid w:val="00B11053"/>
    <w:rsid w:val="00B221A3"/>
    <w:rsid w:val="00B3175C"/>
    <w:rsid w:val="00B3207F"/>
    <w:rsid w:val="00B322AD"/>
    <w:rsid w:val="00B3352A"/>
    <w:rsid w:val="00B35435"/>
    <w:rsid w:val="00B429C0"/>
    <w:rsid w:val="00B5114C"/>
    <w:rsid w:val="00B56603"/>
    <w:rsid w:val="00B56AD9"/>
    <w:rsid w:val="00B6048D"/>
    <w:rsid w:val="00B60981"/>
    <w:rsid w:val="00B61966"/>
    <w:rsid w:val="00B62707"/>
    <w:rsid w:val="00B62B77"/>
    <w:rsid w:val="00B62F9B"/>
    <w:rsid w:val="00B6553A"/>
    <w:rsid w:val="00B65C20"/>
    <w:rsid w:val="00B66C0F"/>
    <w:rsid w:val="00B7167C"/>
    <w:rsid w:val="00B7524A"/>
    <w:rsid w:val="00B75DDC"/>
    <w:rsid w:val="00B7672B"/>
    <w:rsid w:val="00B80EDB"/>
    <w:rsid w:val="00B8403A"/>
    <w:rsid w:val="00B94EB2"/>
    <w:rsid w:val="00B9681B"/>
    <w:rsid w:val="00BA0B5B"/>
    <w:rsid w:val="00BA1EF2"/>
    <w:rsid w:val="00BA5926"/>
    <w:rsid w:val="00BA70BC"/>
    <w:rsid w:val="00BB154C"/>
    <w:rsid w:val="00BB6004"/>
    <w:rsid w:val="00BC1D80"/>
    <w:rsid w:val="00BC263D"/>
    <w:rsid w:val="00BC2A1E"/>
    <w:rsid w:val="00BC2C47"/>
    <w:rsid w:val="00BC5506"/>
    <w:rsid w:val="00BC7567"/>
    <w:rsid w:val="00BD1361"/>
    <w:rsid w:val="00BD2419"/>
    <w:rsid w:val="00BD46C6"/>
    <w:rsid w:val="00BE111A"/>
    <w:rsid w:val="00BE2CDC"/>
    <w:rsid w:val="00BE2F6D"/>
    <w:rsid w:val="00BE7758"/>
    <w:rsid w:val="00BE7C7F"/>
    <w:rsid w:val="00BF24B4"/>
    <w:rsid w:val="00BF34D2"/>
    <w:rsid w:val="00C05EB6"/>
    <w:rsid w:val="00C0781D"/>
    <w:rsid w:val="00C14D03"/>
    <w:rsid w:val="00C17DFF"/>
    <w:rsid w:val="00C23A61"/>
    <w:rsid w:val="00C304DD"/>
    <w:rsid w:val="00C35E67"/>
    <w:rsid w:val="00C41148"/>
    <w:rsid w:val="00C4283C"/>
    <w:rsid w:val="00C43629"/>
    <w:rsid w:val="00C474FC"/>
    <w:rsid w:val="00C57A7D"/>
    <w:rsid w:val="00C673FD"/>
    <w:rsid w:val="00C74079"/>
    <w:rsid w:val="00C75C2E"/>
    <w:rsid w:val="00C768C8"/>
    <w:rsid w:val="00C76DA5"/>
    <w:rsid w:val="00C8067E"/>
    <w:rsid w:val="00C80E80"/>
    <w:rsid w:val="00C85425"/>
    <w:rsid w:val="00C877ED"/>
    <w:rsid w:val="00C92385"/>
    <w:rsid w:val="00C95098"/>
    <w:rsid w:val="00C9527E"/>
    <w:rsid w:val="00C954D6"/>
    <w:rsid w:val="00C956F7"/>
    <w:rsid w:val="00C97442"/>
    <w:rsid w:val="00CA239A"/>
    <w:rsid w:val="00CA7EB9"/>
    <w:rsid w:val="00CB16D3"/>
    <w:rsid w:val="00CB18DA"/>
    <w:rsid w:val="00CC0326"/>
    <w:rsid w:val="00CC323A"/>
    <w:rsid w:val="00CC3AD0"/>
    <w:rsid w:val="00CC47C4"/>
    <w:rsid w:val="00CC5F61"/>
    <w:rsid w:val="00CC63BF"/>
    <w:rsid w:val="00CE2C6A"/>
    <w:rsid w:val="00CE4327"/>
    <w:rsid w:val="00CE6268"/>
    <w:rsid w:val="00CF155F"/>
    <w:rsid w:val="00CF28B5"/>
    <w:rsid w:val="00CF2DAA"/>
    <w:rsid w:val="00CF3278"/>
    <w:rsid w:val="00CF38B1"/>
    <w:rsid w:val="00CF484E"/>
    <w:rsid w:val="00D01F6F"/>
    <w:rsid w:val="00D047ED"/>
    <w:rsid w:val="00D05DDB"/>
    <w:rsid w:val="00D0636D"/>
    <w:rsid w:val="00D12048"/>
    <w:rsid w:val="00D121DF"/>
    <w:rsid w:val="00D15020"/>
    <w:rsid w:val="00D16E63"/>
    <w:rsid w:val="00D17B04"/>
    <w:rsid w:val="00D24064"/>
    <w:rsid w:val="00D25C39"/>
    <w:rsid w:val="00D273F7"/>
    <w:rsid w:val="00D35B03"/>
    <w:rsid w:val="00D36010"/>
    <w:rsid w:val="00D364C9"/>
    <w:rsid w:val="00D375FB"/>
    <w:rsid w:val="00D377D1"/>
    <w:rsid w:val="00D4016C"/>
    <w:rsid w:val="00D40E31"/>
    <w:rsid w:val="00D41ADD"/>
    <w:rsid w:val="00D421EF"/>
    <w:rsid w:val="00D459CE"/>
    <w:rsid w:val="00D46589"/>
    <w:rsid w:val="00D46A10"/>
    <w:rsid w:val="00D471F9"/>
    <w:rsid w:val="00D52187"/>
    <w:rsid w:val="00D5352D"/>
    <w:rsid w:val="00D551F9"/>
    <w:rsid w:val="00D57D81"/>
    <w:rsid w:val="00D654C9"/>
    <w:rsid w:val="00D664DB"/>
    <w:rsid w:val="00D761EA"/>
    <w:rsid w:val="00D76B81"/>
    <w:rsid w:val="00D84DC1"/>
    <w:rsid w:val="00D909D3"/>
    <w:rsid w:val="00D93614"/>
    <w:rsid w:val="00D96486"/>
    <w:rsid w:val="00DA2E76"/>
    <w:rsid w:val="00DB4C88"/>
    <w:rsid w:val="00DB69AB"/>
    <w:rsid w:val="00DB6C44"/>
    <w:rsid w:val="00DB7923"/>
    <w:rsid w:val="00DC268A"/>
    <w:rsid w:val="00DC3BAE"/>
    <w:rsid w:val="00DC4EA9"/>
    <w:rsid w:val="00DC6581"/>
    <w:rsid w:val="00DC67AC"/>
    <w:rsid w:val="00DC7506"/>
    <w:rsid w:val="00DD0F86"/>
    <w:rsid w:val="00DD0FC9"/>
    <w:rsid w:val="00DD1115"/>
    <w:rsid w:val="00DD351A"/>
    <w:rsid w:val="00DD5408"/>
    <w:rsid w:val="00DD784E"/>
    <w:rsid w:val="00DE3F37"/>
    <w:rsid w:val="00DE607D"/>
    <w:rsid w:val="00DE7300"/>
    <w:rsid w:val="00DF055A"/>
    <w:rsid w:val="00DF1BC6"/>
    <w:rsid w:val="00DF1DE1"/>
    <w:rsid w:val="00E0099E"/>
    <w:rsid w:val="00E00BE5"/>
    <w:rsid w:val="00E00D1B"/>
    <w:rsid w:val="00E0380D"/>
    <w:rsid w:val="00E03D06"/>
    <w:rsid w:val="00E04845"/>
    <w:rsid w:val="00E05501"/>
    <w:rsid w:val="00E06F33"/>
    <w:rsid w:val="00E07321"/>
    <w:rsid w:val="00E14226"/>
    <w:rsid w:val="00E2001A"/>
    <w:rsid w:val="00E20829"/>
    <w:rsid w:val="00E20CB6"/>
    <w:rsid w:val="00E22125"/>
    <w:rsid w:val="00E22BAC"/>
    <w:rsid w:val="00E234CC"/>
    <w:rsid w:val="00E25C4B"/>
    <w:rsid w:val="00E26FF1"/>
    <w:rsid w:val="00E271C2"/>
    <w:rsid w:val="00E319E3"/>
    <w:rsid w:val="00E31CD7"/>
    <w:rsid w:val="00E3400E"/>
    <w:rsid w:val="00E36248"/>
    <w:rsid w:val="00E5095E"/>
    <w:rsid w:val="00E51DBD"/>
    <w:rsid w:val="00E5406B"/>
    <w:rsid w:val="00E54F5E"/>
    <w:rsid w:val="00E552D8"/>
    <w:rsid w:val="00E560CA"/>
    <w:rsid w:val="00E56C6A"/>
    <w:rsid w:val="00E62C1C"/>
    <w:rsid w:val="00E642EF"/>
    <w:rsid w:val="00E654E2"/>
    <w:rsid w:val="00E65AA7"/>
    <w:rsid w:val="00E6789D"/>
    <w:rsid w:val="00E67A71"/>
    <w:rsid w:val="00E74DB8"/>
    <w:rsid w:val="00E75674"/>
    <w:rsid w:val="00E763B0"/>
    <w:rsid w:val="00E76537"/>
    <w:rsid w:val="00E7660C"/>
    <w:rsid w:val="00E87ACB"/>
    <w:rsid w:val="00E94531"/>
    <w:rsid w:val="00EA0848"/>
    <w:rsid w:val="00EA1C8D"/>
    <w:rsid w:val="00EA6052"/>
    <w:rsid w:val="00EA62BA"/>
    <w:rsid w:val="00EA69F8"/>
    <w:rsid w:val="00EA743A"/>
    <w:rsid w:val="00EA7758"/>
    <w:rsid w:val="00EB062B"/>
    <w:rsid w:val="00EB131F"/>
    <w:rsid w:val="00EB238C"/>
    <w:rsid w:val="00EB424E"/>
    <w:rsid w:val="00EB7176"/>
    <w:rsid w:val="00EB7241"/>
    <w:rsid w:val="00EB79C4"/>
    <w:rsid w:val="00EB7E8C"/>
    <w:rsid w:val="00EC0E96"/>
    <w:rsid w:val="00EC1007"/>
    <w:rsid w:val="00EC1D46"/>
    <w:rsid w:val="00EC1F0A"/>
    <w:rsid w:val="00EC2EE2"/>
    <w:rsid w:val="00EC3451"/>
    <w:rsid w:val="00ED2B97"/>
    <w:rsid w:val="00ED370C"/>
    <w:rsid w:val="00ED37F4"/>
    <w:rsid w:val="00ED5296"/>
    <w:rsid w:val="00ED5F47"/>
    <w:rsid w:val="00ED7698"/>
    <w:rsid w:val="00EE439F"/>
    <w:rsid w:val="00EF2045"/>
    <w:rsid w:val="00F00F58"/>
    <w:rsid w:val="00F04DF8"/>
    <w:rsid w:val="00F068A0"/>
    <w:rsid w:val="00F145CC"/>
    <w:rsid w:val="00F20F1F"/>
    <w:rsid w:val="00F22CF6"/>
    <w:rsid w:val="00F30E3E"/>
    <w:rsid w:val="00F37F69"/>
    <w:rsid w:val="00F41BC9"/>
    <w:rsid w:val="00F4371C"/>
    <w:rsid w:val="00F47FD9"/>
    <w:rsid w:val="00F55081"/>
    <w:rsid w:val="00F619A3"/>
    <w:rsid w:val="00F62243"/>
    <w:rsid w:val="00F63625"/>
    <w:rsid w:val="00F63B02"/>
    <w:rsid w:val="00F63F5D"/>
    <w:rsid w:val="00F6768C"/>
    <w:rsid w:val="00F70BFE"/>
    <w:rsid w:val="00F71B61"/>
    <w:rsid w:val="00F71F0A"/>
    <w:rsid w:val="00F7232F"/>
    <w:rsid w:val="00F73B71"/>
    <w:rsid w:val="00F80300"/>
    <w:rsid w:val="00F8534C"/>
    <w:rsid w:val="00F86A59"/>
    <w:rsid w:val="00F906E1"/>
    <w:rsid w:val="00F90D8D"/>
    <w:rsid w:val="00FA015F"/>
    <w:rsid w:val="00FA0897"/>
    <w:rsid w:val="00FA229E"/>
    <w:rsid w:val="00FA3B45"/>
    <w:rsid w:val="00FA461D"/>
    <w:rsid w:val="00FA6D84"/>
    <w:rsid w:val="00FC1796"/>
    <w:rsid w:val="00FC1AD3"/>
    <w:rsid w:val="00FC7A29"/>
    <w:rsid w:val="00FD1E63"/>
    <w:rsid w:val="00FE06B0"/>
    <w:rsid w:val="00FE1BF2"/>
    <w:rsid w:val="00FE25FF"/>
    <w:rsid w:val="00FE393D"/>
    <w:rsid w:val="00FE3F41"/>
    <w:rsid w:val="00FE74F0"/>
    <w:rsid w:val="00FF1A17"/>
    <w:rsid w:val="00FF3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able of figures" w:uiPriority="99"/>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9174D"/>
    <w:rPr>
      <w:sz w:val="24"/>
      <w:szCs w:val="24"/>
    </w:rPr>
  </w:style>
  <w:style w:type="paragraph" w:styleId="Nagwek1">
    <w:name w:val="heading 1"/>
    <w:basedOn w:val="Normalny"/>
    <w:next w:val="Normalny"/>
    <w:link w:val="Nagwek1Znak"/>
    <w:qFormat/>
    <w:rsid w:val="00270B39"/>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E65AA7"/>
    <w:pPr>
      <w:keepNext/>
      <w:spacing w:before="240" w:after="60" w:line="276" w:lineRule="auto"/>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10D20"/>
    <w:pPr>
      <w:tabs>
        <w:tab w:val="center" w:pos="4536"/>
        <w:tab w:val="right" w:pos="9072"/>
      </w:tabs>
    </w:pPr>
  </w:style>
  <w:style w:type="paragraph" w:styleId="Stopka">
    <w:name w:val="footer"/>
    <w:basedOn w:val="Normalny"/>
    <w:link w:val="StopkaZnak"/>
    <w:uiPriority w:val="99"/>
    <w:rsid w:val="00810D20"/>
    <w:pPr>
      <w:tabs>
        <w:tab w:val="center" w:pos="4536"/>
        <w:tab w:val="right" w:pos="9072"/>
      </w:tabs>
    </w:pPr>
  </w:style>
  <w:style w:type="character" w:styleId="Pogrubienie">
    <w:name w:val="Strong"/>
    <w:basedOn w:val="Domylnaczcionkaakapitu"/>
    <w:qFormat/>
    <w:rsid w:val="009D5861"/>
    <w:rPr>
      <w:b/>
      <w:bCs/>
    </w:rPr>
  </w:style>
  <w:style w:type="character" w:customStyle="1" w:styleId="Nagwek1Znak">
    <w:name w:val="Nagłówek 1 Znak"/>
    <w:basedOn w:val="Domylnaczcionkaakapitu"/>
    <w:link w:val="Nagwek1"/>
    <w:rsid w:val="00270B3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65AA7"/>
    <w:rPr>
      <w:rFonts w:ascii="Cambria" w:eastAsia="Times New Roman" w:hAnsi="Cambria" w:cs="Times New Roman"/>
      <w:b/>
      <w:bCs/>
      <w:i/>
      <w:iCs/>
      <w:sz w:val="28"/>
      <w:szCs w:val="28"/>
    </w:rPr>
  </w:style>
  <w:style w:type="character" w:customStyle="1" w:styleId="StopkaZnak">
    <w:name w:val="Stopka Znak"/>
    <w:basedOn w:val="Domylnaczcionkaakapitu"/>
    <w:link w:val="Stopka"/>
    <w:uiPriority w:val="99"/>
    <w:rsid w:val="00D664DB"/>
    <w:rPr>
      <w:sz w:val="24"/>
      <w:szCs w:val="24"/>
    </w:rPr>
  </w:style>
  <w:style w:type="paragraph" w:styleId="Akapitzlist">
    <w:name w:val="List Paragraph"/>
    <w:basedOn w:val="Normalny"/>
    <w:uiPriority w:val="34"/>
    <w:qFormat/>
    <w:rsid w:val="00DC3BAE"/>
    <w:pPr>
      <w:spacing w:after="200" w:line="276" w:lineRule="auto"/>
      <w:ind w:left="720"/>
      <w:contextualSpacing/>
    </w:pPr>
    <w:rPr>
      <w:rFonts w:ascii="Calibri" w:hAnsi="Calibri"/>
      <w:sz w:val="22"/>
      <w:szCs w:val="22"/>
    </w:rPr>
  </w:style>
  <w:style w:type="paragraph" w:styleId="Nagwekspisutreci">
    <w:name w:val="TOC Heading"/>
    <w:basedOn w:val="Nagwek1"/>
    <w:next w:val="Normalny"/>
    <w:uiPriority w:val="39"/>
    <w:semiHidden/>
    <w:unhideWhenUsed/>
    <w:qFormat/>
    <w:rsid w:val="00CC47C4"/>
    <w:pPr>
      <w:keepLines/>
      <w:spacing w:before="480" w:after="0" w:line="276" w:lineRule="auto"/>
      <w:outlineLvl w:val="9"/>
    </w:pPr>
    <w:rPr>
      <w:color w:val="365F91"/>
      <w:kern w:val="0"/>
      <w:sz w:val="28"/>
      <w:szCs w:val="28"/>
      <w:lang w:eastAsia="en-US"/>
    </w:rPr>
  </w:style>
  <w:style w:type="paragraph" w:styleId="Spistreci1">
    <w:name w:val="toc 1"/>
    <w:basedOn w:val="Normalny"/>
    <w:next w:val="Normalny"/>
    <w:autoRedefine/>
    <w:uiPriority w:val="39"/>
    <w:rsid w:val="00CC47C4"/>
  </w:style>
  <w:style w:type="paragraph" w:styleId="Spistreci2">
    <w:name w:val="toc 2"/>
    <w:basedOn w:val="Normalny"/>
    <w:next w:val="Normalny"/>
    <w:autoRedefine/>
    <w:uiPriority w:val="39"/>
    <w:rsid w:val="00CC47C4"/>
    <w:pPr>
      <w:ind w:left="240"/>
    </w:pPr>
  </w:style>
  <w:style w:type="character" w:styleId="Hipercze">
    <w:name w:val="Hyperlink"/>
    <w:basedOn w:val="Domylnaczcionkaakapitu"/>
    <w:uiPriority w:val="99"/>
    <w:unhideWhenUsed/>
    <w:rsid w:val="00CC47C4"/>
    <w:rPr>
      <w:color w:val="0000FF"/>
      <w:u w:val="single"/>
    </w:rPr>
  </w:style>
  <w:style w:type="paragraph" w:styleId="Tekstprzypisudolnego">
    <w:name w:val="footnote text"/>
    <w:basedOn w:val="Normalny"/>
    <w:link w:val="TekstprzypisudolnegoZnak"/>
    <w:rsid w:val="00AB074F"/>
    <w:rPr>
      <w:sz w:val="20"/>
      <w:szCs w:val="20"/>
    </w:rPr>
  </w:style>
  <w:style w:type="character" w:customStyle="1" w:styleId="TekstprzypisudolnegoZnak">
    <w:name w:val="Tekst przypisu dolnego Znak"/>
    <w:basedOn w:val="Domylnaczcionkaakapitu"/>
    <w:link w:val="Tekstprzypisudolnego"/>
    <w:rsid w:val="00AB074F"/>
  </w:style>
  <w:style w:type="character" w:styleId="Odwoanieprzypisudolnego">
    <w:name w:val="footnote reference"/>
    <w:basedOn w:val="Domylnaczcionkaakapitu"/>
    <w:uiPriority w:val="99"/>
    <w:rsid w:val="00AB074F"/>
    <w:rPr>
      <w:vertAlign w:val="superscript"/>
    </w:rPr>
  </w:style>
  <w:style w:type="paragraph" w:styleId="Tekstdymka">
    <w:name w:val="Balloon Text"/>
    <w:basedOn w:val="Normalny"/>
    <w:link w:val="TekstdymkaZnak"/>
    <w:rsid w:val="009C7182"/>
    <w:rPr>
      <w:rFonts w:ascii="Tahoma" w:hAnsi="Tahoma" w:cs="Tahoma"/>
      <w:sz w:val="16"/>
      <w:szCs w:val="16"/>
    </w:rPr>
  </w:style>
  <w:style w:type="character" w:customStyle="1" w:styleId="TekstdymkaZnak">
    <w:name w:val="Tekst dymka Znak"/>
    <w:basedOn w:val="Domylnaczcionkaakapitu"/>
    <w:link w:val="Tekstdymka"/>
    <w:rsid w:val="009C7182"/>
    <w:rPr>
      <w:rFonts w:ascii="Tahoma" w:hAnsi="Tahoma" w:cs="Tahoma"/>
      <w:sz w:val="16"/>
      <w:szCs w:val="16"/>
    </w:rPr>
  </w:style>
  <w:style w:type="character" w:styleId="UyteHipercze">
    <w:name w:val="FollowedHyperlink"/>
    <w:basedOn w:val="Domylnaczcionkaakapitu"/>
    <w:rsid w:val="00C05EB6"/>
    <w:rPr>
      <w:color w:val="800080"/>
      <w:u w:val="single"/>
    </w:rPr>
  </w:style>
  <w:style w:type="paragraph" w:styleId="NormalnyWeb">
    <w:name w:val="Normal (Web)"/>
    <w:basedOn w:val="Normalny"/>
    <w:uiPriority w:val="99"/>
    <w:rsid w:val="005F0523"/>
    <w:pPr>
      <w:spacing w:before="100" w:after="100" w:line="300" w:lineRule="atLeast"/>
      <w:ind w:left="284" w:firstLine="709"/>
      <w:jc w:val="both"/>
    </w:pPr>
    <w:rPr>
      <w:rFonts w:ascii="Arial Unicode MS" w:eastAsia="Arial Unicode MS" w:hAnsi="Arial Unicode MS"/>
      <w:color w:val="000000"/>
      <w:sz w:val="20"/>
      <w:szCs w:val="20"/>
    </w:rPr>
  </w:style>
  <w:style w:type="paragraph" w:styleId="Tekstpodstawowy">
    <w:name w:val="Body Text"/>
    <w:basedOn w:val="Normalny"/>
    <w:link w:val="TekstpodstawowyZnak"/>
    <w:rsid w:val="00D5352D"/>
    <w:pPr>
      <w:spacing w:line="300" w:lineRule="atLeast"/>
      <w:jc w:val="both"/>
    </w:pPr>
    <w:rPr>
      <w:rFonts w:ascii="Arial" w:hAnsi="Arial"/>
      <w:sz w:val="20"/>
      <w:szCs w:val="20"/>
    </w:rPr>
  </w:style>
  <w:style w:type="character" w:customStyle="1" w:styleId="TekstpodstawowyZnak">
    <w:name w:val="Tekst podstawowy Znak"/>
    <w:basedOn w:val="Domylnaczcionkaakapitu"/>
    <w:link w:val="Tekstpodstawowy"/>
    <w:rsid w:val="00D5352D"/>
    <w:rPr>
      <w:rFonts w:ascii="Arial" w:hAnsi="Arial"/>
    </w:rPr>
  </w:style>
  <w:style w:type="paragraph" w:styleId="Legenda">
    <w:name w:val="caption"/>
    <w:basedOn w:val="Normalny"/>
    <w:next w:val="Normalny"/>
    <w:unhideWhenUsed/>
    <w:qFormat/>
    <w:rsid w:val="00A05146"/>
    <w:rPr>
      <w:b/>
      <w:bCs/>
      <w:sz w:val="20"/>
      <w:szCs w:val="20"/>
    </w:rPr>
  </w:style>
  <w:style w:type="paragraph" w:customStyle="1" w:styleId="Default">
    <w:name w:val="Default"/>
    <w:rsid w:val="002F0A89"/>
    <w:pPr>
      <w:autoSpaceDE w:val="0"/>
      <w:autoSpaceDN w:val="0"/>
      <w:adjustRightInd w:val="0"/>
    </w:pPr>
    <w:rPr>
      <w:rFonts w:ascii="Trebuchet MS" w:hAnsi="Trebuchet MS" w:cs="Trebuchet MS"/>
      <w:color w:val="000000"/>
      <w:sz w:val="24"/>
      <w:szCs w:val="24"/>
    </w:rPr>
  </w:style>
  <w:style w:type="character" w:customStyle="1" w:styleId="NagwekZnak">
    <w:name w:val="Nagłówek Znak"/>
    <w:basedOn w:val="Domylnaczcionkaakapitu"/>
    <w:link w:val="Nagwek"/>
    <w:uiPriority w:val="99"/>
    <w:rsid w:val="002F0A89"/>
    <w:rPr>
      <w:sz w:val="24"/>
      <w:szCs w:val="24"/>
    </w:rPr>
  </w:style>
  <w:style w:type="paragraph" w:styleId="Tytu">
    <w:name w:val="Title"/>
    <w:basedOn w:val="Normalny"/>
    <w:next w:val="Normalny"/>
    <w:link w:val="TytuZnak"/>
    <w:qFormat/>
    <w:rsid w:val="00CA239A"/>
    <w:pPr>
      <w:pBdr>
        <w:bottom w:val="single" w:sz="8" w:space="4" w:color="4F81BD"/>
      </w:pBdr>
      <w:spacing w:after="300"/>
      <w:contextualSpacing/>
    </w:pPr>
    <w:rPr>
      <w:rFonts w:ascii="Cambria" w:hAnsi="Cambria"/>
      <w:color w:val="17365D"/>
      <w:spacing w:val="5"/>
      <w:kern w:val="28"/>
      <w:sz w:val="52"/>
      <w:szCs w:val="52"/>
    </w:rPr>
  </w:style>
  <w:style w:type="character" w:customStyle="1" w:styleId="TytuZnak">
    <w:name w:val="Tytuł Znak"/>
    <w:basedOn w:val="Domylnaczcionkaakapitu"/>
    <w:link w:val="Tytu"/>
    <w:rsid w:val="00CA239A"/>
    <w:rPr>
      <w:rFonts w:ascii="Cambria" w:eastAsia="Times New Roman" w:hAnsi="Cambria" w:cs="Times New Roman"/>
      <w:color w:val="17365D"/>
      <w:spacing w:val="5"/>
      <w:kern w:val="28"/>
      <w:sz w:val="52"/>
      <w:szCs w:val="52"/>
    </w:rPr>
  </w:style>
  <w:style w:type="table" w:styleId="Tabela-Siatka">
    <w:name w:val="Table Grid"/>
    <w:basedOn w:val="Standardowy"/>
    <w:rsid w:val="00D964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Wspczesny">
    <w:name w:val="Table Contemporary"/>
    <w:basedOn w:val="Standardowy"/>
    <w:rsid w:val="00D96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Spisilustracji">
    <w:name w:val="table of figures"/>
    <w:basedOn w:val="Normalny"/>
    <w:next w:val="Normalny"/>
    <w:uiPriority w:val="99"/>
    <w:rsid w:val="006D4975"/>
  </w:style>
</w:styles>
</file>

<file path=word/webSettings.xml><?xml version="1.0" encoding="utf-8"?>
<w:webSettings xmlns:r="http://schemas.openxmlformats.org/officeDocument/2006/relationships" xmlns:w="http://schemas.openxmlformats.org/wordprocessingml/2006/main">
  <w:divs>
    <w:div w:id="107430940">
      <w:bodyDiv w:val="1"/>
      <w:marLeft w:val="0"/>
      <w:marRight w:val="0"/>
      <w:marTop w:val="0"/>
      <w:marBottom w:val="0"/>
      <w:divBdr>
        <w:top w:val="none" w:sz="0" w:space="0" w:color="auto"/>
        <w:left w:val="none" w:sz="0" w:space="0" w:color="auto"/>
        <w:bottom w:val="none" w:sz="0" w:space="0" w:color="auto"/>
        <w:right w:val="none" w:sz="0" w:space="0" w:color="auto"/>
      </w:divBdr>
    </w:div>
    <w:div w:id="140536288">
      <w:bodyDiv w:val="1"/>
      <w:marLeft w:val="0"/>
      <w:marRight w:val="0"/>
      <w:marTop w:val="0"/>
      <w:marBottom w:val="0"/>
      <w:divBdr>
        <w:top w:val="none" w:sz="0" w:space="0" w:color="auto"/>
        <w:left w:val="none" w:sz="0" w:space="0" w:color="auto"/>
        <w:bottom w:val="none" w:sz="0" w:space="0" w:color="auto"/>
        <w:right w:val="none" w:sz="0" w:space="0" w:color="auto"/>
      </w:divBdr>
    </w:div>
    <w:div w:id="314459072">
      <w:bodyDiv w:val="1"/>
      <w:marLeft w:val="0"/>
      <w:marRight w:val="0"/>
      <w:marTop w:val="0"/>
      <w:marBottom w:val="0"/>
      <w:divBdr>
        <w:top w:val="none" w:sz="0" w:space="0" w:color="auto"/>
        <w:left w:val="none" w:sz="0" w:space="0" w:color="auto"/>
        <w:bottom w:val="none" w:sz="0" w:space="0" w:color="auto"/>
        <w:right w:val="none" w:sz="0" w:space="0" w:color="auto"/>
      </w:divBdr>
    </w:div>
    <w:div w:id="438524569">
      <w:bodyDiv w:val="1"/>
      <w:marLeft w:val="0"/>
      <w:marRight w:val="0"/>
      <w:marTop w:val="0"/>
      <w:marBottom w:val="0"/>
      <w:divBdr>
        <w:top w:val="none" w:sz="0" w:space="0" w:color="auto"/>
        <w:left w:val="none" w:sz="0" w:space="0" w:color="auto"/>
        <w:bottom w:val="none" w:sz="0" w:space="0" w:color="auto"/>
        <w:right w:val="none" w:sz="0" w:space="0" w:color="auto"/>
      </w:divBdr>
    </w:div>
    <w:div w:id="480537587">
      <w:bodyDiv w:val="1"/>
      <w:marLeft w:val="0"/>
      <w:marRight w:val="0"/>
      <w:marTop w:val="0"/>
      <w:marBottom w:val="0"/>
      <w:divBdr>
        <w:top w:val="none" w:sz="0" w:space="0" w:color="auto"/>
        <w:left w:val="none" w:sz="0" w:space="0" w:color="auto"/>
        <w:bottom w:val="none" w:sz="0" w:space="0" w:color="auto"/>
        <w:right w:val="none" w:sz="0" w:space="0" w:color="auto"/>
      </w:divBdr>
    </w:div>
    <w:div w:id="638153163">
      <w:bodyDiv w:val="1"/>
      <w:marLeft w:val="0"/>
      <w:marRight w:val="0"/>
      <w:marTop w:val="0"/>
      <w:marBottom w:val="0"/>
      <w:divBdr>
        <w:top w:val="none" w:sz="0" w:space="0" w:color="auto"/>
        <w:left w:val="none" w:sz="0" w:space="0" w:color="auto"/>
        <w:bottom w:val="none" w:sz="0" w:space="0" w:color="auto"/>
        <w:right w:val="none" w:sz="0" w:space="0" w:color="auto"/>
      </w:divBdr>
    </w:div>
    <w:div w:id="650670775">
      <w:bodyDiv w:val="1"/>
      <w:marLeft w:val="0"/>
      <w:marRight w:val="0"/>
      <w:marTop w:val="0"/>
      <w:marBottom w:val="0"/>
      <w:divBdr>
        <w:top w:val="none" w:sz="0" w:space="0" w:color="auto"/>
        <w:left w:val="none" w:sz="0" w:space="0" w:color="auto"/>
        <w:bottom w:val="none" w:sz="0" w:space="0" w:color="auto"/>
        <w:right w:val="none" w:sz="0" w:space="0" w:color="auto"/>
      </w:divBdr>
    </w:div>
    <w:div w:id="684671664">
      <w:bodyDiv w:val="1"/>
      <w:marLeft w:val="0"/>
      <w:marRight w:val="0"/>
      <w:marTop w:val="0"/>
      <w:marBottom w:val="0"/>
      <w:divBdr>
        <w:top w:val="none" w:sz="0" w:space="0" w:color="auto"/>
        <w:left w:val="none" w:sz="0" w:space="0" w:color="auto"/>
        <w:bottom w:val="none" w:sz="0" w:space="0" w:color="auto"/>
        <w:right w:val="none" w:sz="0" w:space="0" w:color="auto"/>
      </w:divBdr>
    </w:div>
    <w:div w:id="851845107">
      <w:bodyDiv w:val="1"/>
      <w:marLeft w:val="0"/>
      <w:marRight w:val="0"/>
      <w:marTop w:val="0"/>
      <w:marBottom w:val="0"/>
      <w:divBdr>
        <w:top w:val="none" w:sz="0" w:space="0" w:color="auto"/>
        <w:left w:val="none" w:sz="0" w:space="0" w:color="auto"/>
        <w:bottom w:val="none" w:sz="0" w:space="0" w:color="auto"/>
        <w:right w:val="none" w:sz="0" w:space="0" w:color="auto"/>
      </w:divBdr>
    </w:div>
    <w:div w:id="851994875">
      <w:bodyDiv w:val="1"/>
      <w:marLeft w:val="0"/>
      <w:marRight w:val="0"/>
      <w:marTop w:val="0"/>
      <w:marBottom w:val="0"/>
      <w:divBdr>
        <w:top w:val="none" w:sz="0" w:space="0" w:color="auto"/>
        <w:left w:val="none" w:sz="0" w:space="0" w:color="auto"/>
        <w:bottom w:val="none" w:sz="0" w:space="0" w:color="auto"/>
        <w:right w:val="none" w:sz="0" w:space="0" w:color="auto"/>
      </w:divBdr>
    </w:div>
    <w:div w:id="924150170">
      <w:bodyDiv w:val="1"/>
      <w:marLeft w:val="0"/>
      <w:marRight w:val="0"/>
      <w:marTop w:val="0"/>
      <w:marBottom w:val="0"/>
      <w:divBdr>
        <w:top w:val="none" w:sz="0" w:space="0" w:color="auto"/>
        <w:left w:val="none" w:sz="0" w:space="0" w:color="auto"/>
        <w:bottom w:val="none" w:sz="0" w:space="0" w:color="auto"/>
        <w:right w:val="none" w:sz="0" w:space="0" w:color="auto"/>
      </w:divBdr>
    </w:div>
    <w:div w:id="961809520">
      <w:bodyDiv w:val="1"/>
      <w:marLeft w:val="0"/>
      <w:marRight w:val="0"/>
      <w:marTop w:val="0"/>
      <w:marBottom w:val="0"/>
      <w:divBdr>
        <w:top w:val="none" w:sz="0" w:space="0" w:color="auto"/>
        <w:left w:val="none" w:sz="0" w:space="0" w:color="auto"/>
        <w:bottom w:val="none" w:sz="0" w:space="0" w:color="auto"/>
        <w:right w:val="none" w:sz="0" w:space="0" w:color="auto"/>
      </w:divBdr>
    </w:div>
    <w:div w:id="982278083">
      <w:bodyDiv w:val="1"/>
      <w:marLeft w:val="0"/>
      <w:marRight w:val="0"/>
      <w:marTop w:val="0"/>
      <w:marBottom w:val="0"/>
      <w:divBdr>
        <w:top w:val="none" w:sz="0" w:space="0" w:color="auto"/>
        <w:left w:val="none" w:sz="0" w:space="0" w:color="auto"/>
        <w:bottom w:val="none" w:sz="0" w:space="0" w:color="auto"/>
        <w:right w:val="none" w:sz="0" w:space="0" w:color="auto"/>
      </w:divBdr>
    </w:div>
    <w:div w:id="1151405927">
      <w:bodyDiv w:val="1"/>
      <w:marLeft w:val="0"/>
      <w:marRight w:val="0"/>
      <w:marTop w:val="0"/>
      <w:marBottom w:val="0"/>
      <w:divBdr>
        <w:top w:val="none" w:sz="0" w:space="0" w:color="auto"/>
        <w:left w:val="none" w:sz="0" w:space="0" w:color="auto"/>
        <w:bottom w:val="none" w:sz="0" w:space="0" w:color="auto"/>
        <w:right w:val="none" w:sz="0" w:space="0" w:color="auto"/>
      </w:divBdr>
    </w:div>
    <w:div w:id="1225486580">
      <w:bodyDiv w:val="1"/>
      <w:marLeft w:val="0"/>
      <w:marRight w:val="0"/>
      <w:marTop w:val="0"/>
      <w:marBottom w:val="0"/>
      <w:divBdr>
        <w:top w:val="none" w:sz="0" w:space="0" w:color="auto"/>
        <w:left w:val="none" w:sz="0" w:space="0" w:color="auto"/>
        <w:bottom w:val="none" w:sz="0" w:space="0" w:color="auto"/>
        <w:right w:val="none" w:sz="0" w:space="0" w:color="auto"/>
      </w:divBdr>
    </w:div>
    <w:div w:id="1342244427">
      <w:bodyDiv w:val="1"/>
      <w:marLeft w:val="0"/>
      <w:marRight w:val="0"/>
      <w:marTop w:val="0"/>
      <w:marBottom w:val="0"/>
      <w:divBdr>
        <w:top w:val="none" w:sz="0" w:space="0" w:color="auto"/>
        <w:left w:val="none" w:sz="0" w:space="0" w:color="auto"/>
        <w:bottom w:val="none" w:sz="0" w:space="0" w:color="auto"/>
        <w:right w:val="none" w:sz="0" w:space="0" w:color="auto"/>
      </w:divBdr>
    </w:div>
    <w:div w:id="1390953165">
      <w:bodyDiv w:val="1"/>
      <w:marLeft w:val="0"/>
      <w:marRight w:val="0"/>
      <w:marTop w:val="0"/>
      <w:marBottom w:val="0"/>
      <w:divBdr>
        <w:top w:val="none" w:sz="0" w:space="0" w:color="auto"/>
        <w:left w:val="none" w:sz="0" w:space="0" w:color="auto"/>
        <w:bottom w:val="none" w:sz="0" w:space="0" w:color="auto"/>
        <w:right w:val="none" w:sz="0" w:space="0" w:color="auto"/>
      </w:divBdr>
    </w:div>
    <w:div w:id="1397431361">
      <w:bodyDiv w:val="1"/>
      <w:marLeft w:val="0"/>
      <w:marRight w:val="0"/>
      <w:marTop w:val="0"/>
      <w:marBottom w:val="0"/>
      <w:divBdr>
        <w:top w:val="none" w:sz="0" w:space="0" w:color="auto"/>
        <w:left w:val="none" w:sz="0" w:space="0" w:color="auto"/>
        <w:bottom w:val="none" w:sz="0" w:space="0" w:color="auto"/>
        <w:right w:val="none" w:sz="0" w:space="0" w:color="auto"/>
      </w:divBdr>
    </w:div>
    <w:div w:id="1412967281">
      <w:bodyDiv w:val="1"/>
      <w:marLeft w:val="0"/>
      <w:marRight w:val="0"/>
      <w:marTop w:val="0"/>
      <w:marBottom w:val="0"/>
      <w:divBdr>
        <w:top w:val="none" w:sz="0" w:space="0" w:color="auto"/>
        <w:left w:val="none" w:sz="0" w:space="0" w:color="auto"/>
        <w:bottom w:val="none" w:sz="0" w:space="0" w:color="auto"/>
        <w:right w:val="none" w:sz="0" w:space="0" w:color="auto"/>
      </w:divBdr>
    </w:div>
    <w:div w:id="1456171072">
      <w:bodyDiv w:val="1"/>
      <w:marLeft w:val="0"/>
      <w:marRight w:val="0"/>
      <w:marTop w:val="0"/>
      <w:marBottom w:val="0"/>
      <w:divBdr>
        <w:top w:val="none" w:sz="0" w:space="0" w:color="auto"/>
        <w:left w:val="none" w:sz="0" w:space="0" w:color="auto"/>
        <w:bottom w:val="none" w:sz="0" w:space="0" w:color="auto"/>
        <w:right w:val="none" w:sz="0" w:space="0" w:color="auto"/>
      </w:divBdr>
    </w:div>
    <w:div w:id="1494687524">
      <w:bodyDiv w:val="1"/>
      <w:marLeft w:val="0"/>
      <w:marRight w:val="0"/>
      <w:marTop w:val="0"/>
      <w:marBottom w:val="0"/>
      <w:divBdr>
        <w:top w:val="none" w:sz="0" w:space="0" w:color="auto"/>
        <w:left w:val="none" w:sz="0" w:space="0" w:color="auto"/>
        <w:bottom w:val="none" w:sz="0" w:space="0" w:color="auto"/>
        <w:right w:val="none" w:sz="0" w:space="0" w:color="auto"/>
      </w:divBdr>
    </w:div>
    <w:div w:id="1531381632">
      <w:bodyDiv w:val="1"/>
      <w:marLeft w:val="0"/>
      <w:marRight w:val="0"/>
      <w:marTop w:val="0"/>
      <w:marBottom w:val="0"/>
      <w:divBdr>
        <w:top w:val="none" w:sz="0" w:space="0" w:color="auto"/>
        <w:left w:val="none" w:sz="0" w:space="0" w:color="auto"/>
        <w:bottom w:val="none" w:sz="0" w:space="0" w:color="auto"/>
        <w:right w:val="none" w:sz="0" w:space="0" w:color="auto"/>
      </w:divBdr>
    </w:div>
    <w:div w:id="1548104278">
      <w:bodyDiv w:val="1"/>
      <w:marLeft w:val="0"/>
      <w:marRight w:val="0"/>
      <w:marTop w:val="0"/>
      <w:marBottom w:val="0"/>
      <w:divBdr>
        <w:top w:val="none" w:sz="0" w:space="0" w:color="auto"/>
        <w:left w:val="none" w:sz="0" w:space="0" w:color="auto"/>
        <w:bottom w:val="none" w:sz="0" w:space="0" w:color="auto"/>
        <w:right w:val="none" w:sz="0" w:space="0" w:color="auto"/>
      </w:divBdr>
    </w:div>
    <w:div w:id="1599487774">
      <w:bodyDiv w:val="1"/>
      <w:marLeft w:val="0"/>
      <w:marRight w:val="0"/>
      <w:marTop w:val="0"/>
      <w:marBottom w:val="0"/>
      <w:divBdr>
        <w:top w:val="none" w:sz="0" w:space="0" w:color="auto"/>
        <w:left w:val="none" w:sz="0" w:space="0" w:color="auto"/>
        <w:bottom w:val="none" w:sz="0" w:space="0" w:color="auto"/>
        <w:right w:val="none" w:sz="0" w:space="0" w:color="auto"/>
      </w:divBdr>
    </w:div>
    <w:div w:id="1652757849">
      <w:bodyDiv w:val="1"/>
      <w:marLeft w:val="0"/>
      <w:marRight w:val="0"/>
      <w:marTop w:val="0"/>
      <w:marBottom w:val="0"/>
      <w:divBdr>
        <w:top w:val="none" w:sz="0" w:space="0" w:color="auto"/>
        <w:left w:val="none" w:sz="0" w:space="0" w:color="auto"/>
        <w:bottom w:val="none" w:sz="0" w:space="0" w:color="auto"/>
        <w:right w:val="none" w:sz="0" w:space="0" w:color="auto"/>
      </w:divBdr>
    </w:div>
    <w:div w:id="1776972418">
      <w:bodyDiv w:val="1"/>
      <w:marLeft w:val="0"/>
      <w:marRight w:val="0"/>
      <w:marTop w:val="0"/>
      <w:marBottom w:val="0"/>
      <w:divBdr>
        <w:top w:val="none" w:sz="0" w:space="0" w:color="auto"/>
        <w:left w:val="none" w:sz="0" w:space="0" w:color="auto"/>
        <w:bottom w:val="none" w:sz="0" w:space="0" w:color="auto"/>
        <w:right w:val="none" w:sz="0" w:space="0" w:color="auto"/>
      </w:divBdr>
    </w:div>
    <w:div w:id="1848785833">
      <w:bodyDiv w:val="1"/>
      <w:marLeft w:val="0"/>
      <w:marRight w:val="0"/>
      <w:marTop w:val="0"/>
      <w:marBottom w:val="0"/>
      <w:divBdr>
        <w:top w:val="none" w:sz="0" w:space="0" w:color="auto"/>
        <w:left w:val="none" w:sz="0" w:space="0" w:color="auto"/>
        <w:bottom w:val="none" w:sz="0" w:space="0" w:color="auto"/>
        <w:right w:val="none" w:sz="0" w:space="0" w:color="auto"/>
      </w:divBdr>
    </w:div>
    <w:div w:id="1880895303">
      <w:bodyDiv w:val="1"/>
      <w:marLeft w:val="0"/>
      <w:marRight w:val="0"/>
      <w:marTop w:val="0"/>
      <w:marBottom w:val="0"/>
      <w:divBdr>
        <w:top w:val="none" w:sz="0" w:space="0" w:color="auto"/>
        <w:left w:val="none" w:sz="0" w:space="0" w:color="auto"/>
        <w:bottom w:val="none" w:sz="0" w:space="0" w:color="auto"/>
        <w:right w:val="none" w:sz="0" w:space="0" w:color="auto"/>
      </w:divBdr>
    </w:div>
    <w:div w:id="1904095363">
      <w:bodyDiv w:val="1"/>
      <w:marLeft w:val="0"/>
      <w:marRight w:val="0"/>
      <w:marTop w:val="0"/>
      <w:marBottom w:val="0"/>
      <w:divBdr>
        <w:top w:val="none" w:sz="0" w:space="0" w:color="auto"/>
        <w:left w:val="none" w:sz="0" w:space="0" w:color="auto"/>
        <w:bottom w:val="none" w:sz="0" w:space="0" w:color="auto"/>
        <w:right w:val="none" w:sz="0" w:space="0" w:color="auto"/>
      </w:divBdr>
    </w:div>
    <w:div w:id="2021857100">
      <w:bodyDiv w:val="1"/>
      <w:marLeft w:val="0"/>
      <w:marRight w:val="0"/>
      <w:marTop w:val="0"/>
      <w:marBottom w:val="0"/>
      <w:divBdr>
        <w:top w:val="none" w:sz="0" w:space="0" w:color="auto"/>
        <w:left w:val="none" w:sz="0" w:space="0" w:color="auto"/>
        <w:bottom w:val="none" w:sz="0" w:space="0" w:color="auto"/>
        <w:right w:val="none" w:sz="0" w:space="0" w:color="auto"/>
      </w:divBdr>
    </w:div>
    <w:div w:id="2034502377">
      <w:bodyDiv w:val="1"/>
      <w:marLeft w:val="0"/>
      <w:marRight w:val="0"/>
      <w:marTop w:val="0"/>
      <w:marBottom w:val="0"/>
      <w:divBdr>
        <w:top w:val="none" w:sz="0" w:space="0" w:color="auto"/>
        <w:left w:val="none" w:sz="0" w:space="0" w:color="auto"/>
        <w:bottom w:val="none" w:sz="0" w:space="0" w:color="auto"/>
        <w:right w:val="none" w:sz="0" w:space="0" w:color="auto"/>
      </w:divBdr>
    </w:div>
    <w:div w:id="2092502063">
      <w:bodyDiv w:val="1"/>
      <w:marLeft w:val="0"/>
      <w:marRight w:val="0"/>
      <w:marTop w:val="0"/>
      <w:marBottom w:val="0"/>
      <w:divBdr>
        <w:top w:val="none" w:sz="0" w:space="0" w:color="auto"/>
        <w:left w:val="none" w:sz="0" w:space="0" w:color="auto"/>
        <w:bottom w:val="none" w:sz="0" w:space="0" w:color="auto"/>
        <w:right w:val="none" w:sz="0" w:space="0" w:color="auto"/>
      </w:divBdr>
      <w:divsChild>
        <w:div w:id="499464823">
          <w:marLeft w:val="0"/>
          <w:marRight w:val="0"/>
          <w:marTop w:val="2775"/>
          <w:marBottom w:val="0"/>
          <w:divBdr>
            <w:top w:val="none" w:sz="0" w:space="0" w:color="auto"/>
            <w:left w:val="none" w:sz="0" w:space="0" w:color="auto"/>
            <w:bottom w:val="none" w:sz="0" w:space="0" w:color="auto"/>
            <w:right w:val="none" w:sz="0" w:space="0" w:color="auto"/>
          </w:divBdr>
          <w:divsChild>
            <w:div w:id="1457793925">
              <w:marLeft w:val="0"/>
              <w:marRight w:val="0"/>
              <w:marTop w:val="300"/>
              <w:marBottom w:val="0"/>
              <w:divBdr>
                <w:top w:val="none" w:sz="0" w:space="0" w:color="auto"/>
                <w:left w:val="none" w:sz="0" w:space="0" w:color="auto"/>
                <w:bottom w:val="none" w:sz="0" w:space="0" w:color="auto"/>
                <w:right w:val="none" w:sz="0" w:space="0" w:color="auto"/>
              </w:divBdr>
              <w:divsChild>
                <w:div w:id="1339846349">
                  <w:marLeft w:val="0"/>
                  <w:marRight w:val="0"/>
                  <w:marTop w:val="0"/>
                  <w:marBottom w:val="0"/>
                  <w:divBdr>
                    <w:top w:val="none" w:sz="0" w:space="0" w:color="auto"/>
                    <w:left w:val="none" w:sz="0" w:space="0" w:color="auto"/>
                    <w:bottom w:val="none" w:sz="0" w:space="0" w:color="auto"/>
                    <w:right w:val="none" w:sz="0" w:space="0" w:color="auto"/>
                  </w:divBdr>
                  <w:divsChild>
                    <w:div w:id="1838106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header" Target="header2.xml"/><Relationship Id="rId47" Type="http://schemas.openxmlformats.org/officeDocument/2006/relationships/chart" Target="charts/chart35.xml"/><Relationship Id="rId50" Type="http://schemas.openxmlformats.org/officeDocument/2006/relationships/chart" Target="charts/chart38.xml"/><Relationship Id="rId55" Type="http://schemas.openxmlformats.org/officeDocument/2006/relationships/chart" Target="charts/chart43.xml"/><Relationship Id="rId63" Type="http://schemas.openxmlformats.org/officeDocument/2006/relationships/chart" Target="charts/chart51.xml"/><Relationship Id="rId68" Type="http://schemas.openxmlformats.org/officeDocument/2006/relationships/chart" Target="charts/chart56.xml"/><Relationship Id="rId76" Type="http://schemas.openxmlformats.org/officeDocument/2006/relationships/chart" Target="charts/chart64.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hart" Target="charts/chart59.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header" Target="header1.xml"/><Relationship Id="rId45" Type="http://schemas.openxmlformats.org/officeDocument/2006/relationships/chart" Target="charts/chart33.xml"/><Relationship Id="rId53" Type="http://schemas.openxmlformats.org/officeDocument/2006/relationships/chart" Target="charts/chart41.xml"/><Relationship Id="rId58" Type="http://schemas.openxmlformats.org/officeDocument/2006/relationships/chart" Target="charts/chart46.xml"/><Relationship Id="rId66" Type="http://schemas.openxmlformats.org/officeDocument/2006/relationships/chart" Target="charts/chart54.xml"/><Relationship Id="rId74" Type="http://schemas.openxmlformats.org/officeDocument/2006/relationships/chart" Target="charts/chart62.xml"/><Relationship Id="rId79" Type="http://schemas.openxmlformats.org/officeDocument/2006/relationships/chart" Target="charts/chart67.xml"/><Relationship Id="rId5" Type="http://schemas.openxmlformats.org/officeDocument/2006/relationships/webSettings" Target="webSettings.xml"/><Relationship Id="rId61" Type="http://schemas.openxmlformats.org/officeDocument/2006/relationships/chart" Target="charts/chart49.xml"/><Relationship Id="rId82" Type="http://schemas.openxmlformats.org/officeDocument/2006/relationships/chart" Target="charts/chart70.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footer" Target="footer2.xml"/><Relationship Id="rId48" Type="http://schemas.openxmlformats.org/officeDocument/2006/relationships/chart" Target="charts/chart36.xml"/><Relationship Id="rId56" Type="http://schemas.openxmlformats.org/officeDocument/2006/relationships/chart" Target="charts/chart44.xml"/><Relationship Id="rId64" Type="http://schemas.openxmlformats.org/officeDocument/2006/relationships/chart" Target="charts/chart52.xml"/><Relationship Id="rId69" Type="http://schemas.openxmlformats.org/officeDocument/2006/relationships/chart" Target="charts/chart57.xml"/><Relationship Id="rId77" Type="http://schemas.openxmlformats.org/officeDocument/2006/relationships/chart" Target="charts/chart65.xml"/><Relationship Id="rId8" Type="http://schemas.openxmlformats.org/officeDocument/2006/relationships/chart" Target="charts/chart1.xml"/><Relationship Id="rId51" Type="http://schemas.openxmlformats.org/officeDocument/2006/relationships/chart" Target="charts/chart39.xml"/><Relationship Id="rId72" Type="http://schemas.openxmlformats.org/officeDocument/2006/relationships/chart" Target="charts/chart60.xml"/><Relationship Id="rId80" Type="http://schemas.openxmlformats.org/officeDocument/2006/relationships/chart" Target="charts/chart68.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4.xml"/><Relationship Id="rId59" Type="http://schemas.openxmlformats.org/officeDocument/2006/relationships/chart" Target="charts/chart47.xml"/><Relationship Id="rId67" Type="http://schemas.openxmlformats.org/officeDocument/2006/relationships/chart" Target="charts/chart55.xml"/><Relationship Id="rId20" Type="http://schemas.openxmlformats.org/officeDocument/2006/relationships/chart" Target="charts/chart13.xml"/><Relationship Id="rId41" Type="http://schemas.openxmlformats.org/officeDocument/2006/relationships/footer" Target="footer1.xml"/><Relationship Id="rId54" Type="http://schemas.openxmlformats.org/officeDocument/2006/relationships/chart" Target="charts/chart42.xml"/><Relationship Id="rId62" Type="http://schemas.openxmlformats.org/officeDocument/2006/relationships/chart" Target="charts/chart50.xml"/><Relationship Id="rId70" Type="http://schemas.openxmlformats.org/officeDocument/2006/relationships/chart" Target="charts/chart58.xml"/><Relationship Id="rId75" Type="http://schemas.openxmlformats.org/officeDocument/2006/relationships/chart" Target="charts/chart63.xml"/><Relationship Id="rId83" Type="http://schemas.openxmlformats.org/officeDocument/2006/relationships/chart" Target="charts/chart7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37.xml"/><Relationship Id="rId57" Type="http://schemas.openxmlformats.org/officeDocument/2006/relationships/chart" Target="charts/chart45.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image" Target="media/image6.jpeg"/><Relationship Id="rId52" Type="http://schemas.openxmlformats.org/officeDocument/2006/relationships/chart" Target="charts/chart40.xml"/><Relationship Id="rId60" Type="http://schemas.openxmlformats.org/officeDocument/2006/relationships/chart" Target="charts/chart48.xml"/><Relationship Id="rId65" Type="http://schemas.openxmlformats.org/officeDocument/2006/relationships/chart" Target="charts/chart53.xml"/><Relationship Id="rId73" Type="http://schemas.openxmlformats.org/officeDocument/2006/relationships/chart" Target="charts/chart61.xml"/><Relationship Id="rId78" Type="http://schemas.openxmlformats.org/officeDocument/2006/relationships/chart" Target="charts/chart66.xml"/><Relationship Id="rId81" Type="http://schemas.openxmlformats.org/officeDocument/2006/relationships/chart" Target="charts/chart69.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Iwona\Documents\Tr&#243;jmiasto\SULECH&#211;W\ludno&#347;&#263;%20og&#243;&#322;em.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Iwona\Documents\Tr&#243;jmiasto\NOWA%20S&#211;L\bezrobocie%20por&#243;wnani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user\Pulpit\szkolnictwo%203%20lata.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user\Pulpit\wyniki%20egzamin&#243;w.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user\Pulpit\wyniki%20egzamin&#243;w.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wona\Documents\Tr&#243;jmiasto\SULECH&#211;W\ludno&#347;&#263;%20grupy%20wieku.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_por&#243;wnanie.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wona\Documents\Tr&#243;jmiasto\SULECH&#211;W\ruch%20naturalny.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_por&#243;wnanie.xls"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Documents%20and%20Settings\W&#322;a&#347;ciciel\Ustawienia%20lokalne\Dane%20aplikacji\Opera\Opera\temporary_downloads\DC_20111125_161840.xls"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_por&#243;wnanie.xls"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_por&#243;wnanie.xls"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Documents%20and%20Settings\W&#322;a&#347;ciciel\Dane%20aplikacji\Microsoft\Excel\Nowa%20S&#243;l%20(version%20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wona\Documents\Tr&#243;jmiasto\SULECH&#211;W\ekonomiczne%20grupy%20wieku.xls"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Iwona\Documents\Tr&#243;jmiasto\SULECH&#211;W\podmioty%20og&#243;&#322;em.xls"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Serwerek\archiwum%20(e)\Tr&#243;jm_I&#321;\NOWA%20S&#211;L\podmioty%20por&#243;wnanie.xls"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xls"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xls"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C:\Documents%20and%20Settings\W&#322;a&#347;ciciel\Pulpit\Anita\Lubuskie%20Tr&#243;jmiasto\dane%20stat\Nowa%20S&#243;l_por&#243;wnanie.xls"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C:\Documents%20and%20Settings\user\Pulpit\nowa%20sol%20portret_kultura.xls"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C:\Documents%20and%20Settings\user\Pulpit\nowa%20sol\zycie%20kulturalne%20ns.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C:\Documents%20and%20Settings\user\Pulpit\nowa%20sol\muzea%20ns.xls"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C:\Documents%20and%20Settings\user\Pulpit\nowa%20sol\nowa%20sol%20biblioteki.xls"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C:\Documents%20and%20Settings\user\Pulpit\nowa%20sol\ns%20imprezy.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Iwona\Documents\Tr&#243;jmiasto\NOWA%20S&#211;L\obci&#261;&#380;enie%20por&#243;wnanie.xls"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C:\Documents%20and%20Settings\user\Pulpit\nowa%20sol\turysci%20ns.xls"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Iwona\Documents\Tr&#243;jmiasto\SULECH&#211;W\pracuj&#261;cy.xls"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cin\Documents\Lubuskie%20Tr&#243;jmiasto\Wyniki%20bada&#324;%20ankietowych\formularze\Ostateczne%20wyniki%20wszystkich%20abkiet\Spis_Nowa%20S&#243;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wona\Documents\Tr&#243;jmiasto\NOWA%20S&#211;L\bezrobotn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3792157260529075"/>
          <c:y val="5.9195114142082589E-2"/>
          <c:w val="0.84320335916765088"/>
          <c:h val="0.8142118311790576"/>
        </c:manualLayout>
      </c:layout>
      <c:lineChart>
        <c:grouping val="standard"/>
        <c:ser>
          <c:idx val="0"/>
          <c:order val="0"/>
          <c:marker>
            <c:symbol val="diamond"/>
            <c:size val="7"/>
          </c:marker>
          <c:cat>
            <c:strRef>
              <c:f>'Dane wg podgr. cech'!$C$8:$Q$8</c:f>
              <c:strCache>
                <c:ptCount val="1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strCache>
            </c:strRef>
          </c:cat>
          <c:val>
            <c:numRef>
              <c:f>'Dane wg podgr. cech'!$C$11:$Q$11</c:f>
              <c:numCache>
                <c:formatCode>#,##0</c:formatCode>
                <c:ptCount val="15"/>
                <c:pt idx="0">
                  <c:v>43120</c:v>
                </c:pt>
                <c:pt idx="1">
                  <c:v>42969</c:v>
                </c:pt>
                <c:pt idx="2">
                  <c:v>42849</c:v>
                </c:pt>
                <c:pt idx="3">
                  <c:v>42662</c:v>
                </c:pt>
                <c:pt idx="4">
                  <c:v>41502</c:v>
                </c:pt>
                <c:pt idx="5">
                  <c:v>41391</c:v>
                </c:pt>
                <c:pt idx="6">
                  <c:v>41205</c:v>
                </c:pt>
                <c:pt idx="7">
                  <c:v>41030</c:v>
                </c:pt>
                <c:pt idx="8">
                  <c:v>40805</c:v>
                </c:pt>
                <c:pt idx="9">
                  <c:v>40616</c:v>
                </c:pt>
                <c:pt idx="10">
                  <c:v>40451</c:v>
                </c:pt>
                <c:pt idx="11">
                  <c:v>40347</c:v>
                </c:pt>
                <c:pt idx="12">
                  <c:v>40300</c:v>
                </c:pt>
                <c:pt idx="13">
                  <c:v>40102</c:v>
                </c:pt>
                <c:pt idx="14">
                  <c:v>39945</c:v>
                </c:pt>
              </c:numCache>
            </c:numRef>
          </c:val>
        </c:ser>
        <c:marker val="1"/>
        <c:axId val="129965056"/>
        <c:axId val="129987328"/>
      </c:lineChart>
      <c:catAx>
        <c:axId val="129965056"/>
        <c:scaling>
          <c:orientation val="minMax"/>
        </c:scaling>
        <c:axPos val="b"/>
        <c:numFmt formatCode="General" sourceLinked="1"/>
        <c:majorTickMark val="none"/>
        <c:tickLblPos val="nextTo"/>
        <c:txPr>
          <a:bodyPr rot="0" vert="horz"/>
          <a:lstStyle/>
          <a:p>
            <a:pPr>
              <a:defRPr sz="900" b="0" i="0" u="none" strike="noStrike" baseline="0">
                <a:solidFill>
                  <a:srgbClr val="000000"/>
                </a:solidFill>
                <a:latin typeface="Calibri"/>
                <a:ea typeface="Calibri"/>
                <a:cs typeface="Calibri"/>
              </a:defRPr>
            </a:pPr>
            <a:endParaRPr lang="pl-PL"/>
          </a:p>
        </c:txPr>
        <c:crossAx val="129987328"/>
        <c:crosses val="autoZero"/>
        <c:auto val="1"/>
        <c:lblAlgn val="ctr"/>
        <c:lblOffset val="100"/>
      </c:catAx>
      <c:valAx>
        <c:axId val="129987328"/>
        <c:scaling>
          <c:orientation val="minMax"/>
          <c:min val="39000"/>
        </c:scaling>
        <c:axPos val="l"/>
        <c:majorGridlines/>
        <c:minorGridlines/>
        <c:title>
          <c:tx>
            <c:rich>
              <a:bodyPr/>
              <a:lstStyle/>
              <a:p>
                <a:pPr>
                  <a:defRPr sz="1000" b="0" i="0" u="none" strike="noStrike" baseline="0">
                    <a:solidFill>
                      <a:srgbClr val="000000"/>
                    </a:solidFill>
                    <a:latin typeface="Calibri"/>
                    <a:ea typeface="Calibri"/>
                    <a:cs typeface="Calibri"/>
                  </a:defRPr>
                </a:pPr>
                <a:r>
                  <a:rPr lang="pl-PL" sz="800" b="0"/>
                  <a:t>osoby</a:t>
                </a:r>
              </a:p>
            </c:rich>
          </c:tx>
        </c:title>
        <c:numFmt formatCode="#,##0" sourceLinked="1"/>
        <c:majorTickMark val="none"/>
        <c:tickLblPos val="nextTo"/>
        <c:txPr>
          <a:bodyPr rot="0" vert="horz"/>
          <a:lstStyle/>
          <a:p>
            <a:pPr>
              <a:defRPr sz="900" b="0" i="0" u="none" strike="noStrike" baseline="0">
                <a:solidFill>
                  <a:srgbClr val="000000"/>
                </a:solidFill>
                <a:latin typeface="Calibri"/>
                <a:ea typeface="Calibri"/>
                <a:cs typeface="Calibri"/>
              </a:defRPr>
            </a:pPr>
            <a:endParaRPr lang="pl-PL"/>
          </a:p>
        </c:txPr>
        <c:crossAx val="129965056"/>
        <c:crosses val="autoZero"/>
        <c:crossBetween val="between"/>
        <c:majorUnit val="500"/>
        <c:minorUnit val="500"/>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pl-PL"/>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9.1288739471379499E-2"/>
          <c:y val="6.2618498453336544E-2"/>
          <c:w val="0.88052058907808228"/>
          <c:h val="0.7215606227438548"/>
        </c:manualLayout>
      </c:layout>
      <c:barChart>
        <c:barDir val="col"/>
        <c:grouping val="clustered"/>
        <c:ser>
          <c:idx val="0"/>
          <c:order val="0"/>
          <c:tx>
            <c:v>ogółem</c:v>
          </c:tx>
          <c:cat>
            <c:strRef>
              <c:f>'Dane wg podgr. cech'!$B$9:$B$13</c:f>
              <c:strCache>
                <c:ptCount val="5"/>
                <c:pt idx="0">
                  <c:v>Polska</c:v>
                </c:pt>
                <c:pt idx="1">
                  <c:v>woj. lubuskie</c:v>
                </c:pt>
                <c:pt idx="2">
                  <c:v>powiat nowosolski</c:v>
                </c:pt>
                <c:pt idx="3">
                  <c:v>Nowa Sól</c:v>
                </c:pt>
                <c:pt idx="4">
                  <c:v>średnia - miasta</c:v>
                </c:pt>
              </c:strCache>
            </c:strRef>
          </c:cat>
          <c:val>
            <c:numRef>
              <c:f>'Dane wg podgr. cech'!$C$9:$C$13</c:f>
              <c:numCache>
                <c:formatCode>#,##0.0</c:formatCode>
                <c:ptCount val="5"/>
                <c:pt idx="0">
                  <c:v>7.7</c:v>
                </c:pt>
                <c:pt idx="1">
                  <c:v>9.2000000000000011</c:v>
                </c:pt>
                <c:pt idx="2">
                  <c:v>13.9</c:v>
                </c:pt>
                <c:pt idx="3">
                  <c:v>12.2</c:v>
                </c:pt>
                <c:pt idx="4">
                  <c:v>7.9346938775510214</c:v>
                </c:pt>
              </c:numCache>
            </c:numRef>
          </c:val>
        </c:ser>
        <c:ser>
          <c:idx val="1"/>
          <c:order val="1"/>
          <c:tx>
            <c:v>mężczyźni</c:v>
          </c:tx>
          <c:cat>
            <c:strRef>
              <c:f>'Dane wg podgr. cech'!$B$9:$B$13</c:f>
              <c:strCache>
                <c:ptCount val="5"/>
                <c:pt idx="0">
                  <c:v>Polska</c:v>
                </c:pt>
                <c:pt idx="1">
                  <c:v>woj. lubuskie</c:v>
                </c:pt>
                <c:pt idx="2">
                  <c:v>powiat nowosolski</c:v>
                </c:pt>
                <c:pt idx="3">
                  <c:v>Nowa Sól</c:v>
                </c:pt>
                <c:pt idx="4">
                  <c:v>średnia - miasta</c:v>
                </c:pt>
              </c:strCache>
            </c:strRef>
          </c:cat>
          <c:val>
            <c:numRef>
              <c:f>'Dane wg podgr. cech'!$D$9:$D$13</c:f>
              <c:numCache>
                <c:formatCode>#,##0.0</c:formatCode>
                <c:ptCount val="5"/>
                <c:pt idx="0" formatCode="#,##0">
                  <c:v>7.2</c:v>
                </c:pt>
                <c:pt idx="1">
                  <c:v>8.5</c:v>
                </c:pt>
                <c:pt idx="2">
                  <c:v>12.6</c:v>
                </c:pt>
                <c:pt idx="3">
                  <c:v>11.5</c:v>
                </c:pt>
                <c:pt idx="4" formatCode="#,##0.00">
                  <c:v>7.6448979591836705</c:v>
                </c:pt>
              </c:numCache>
            </c:numRef>
          </c:val>
        </c:ser>
        <c:ser>
          <c:idx val="2"/>
          <c:order val="2"/>
          <c:tx>
            <c:v>kobiety</c:v>
          </c:tx>
          <c:cat>
            <c:strRef>
              <c:f>'Dane wg podgr. cech'!$B$9:$B$13</c:f>
              <c:strCache>
                <c:ptCount val="5"/>
                <c:pt idx="0">
                  <c:v>Polska</c:v>
                </c:pt>
                <c:pt idx="1">
                  <c:v>woj. lubuskie</c:v>
                </c:pt>
                <c:pt idx="2">
                  <c:v>powiat nowosolski</c:v>
                </c:pt>
                <c:pt idx="3">
                  <c:v>Nowa Sól</c:v>
                </c:pt>
                <c:pt idx="4">
                  <c:v>średnia - miasta</c:v>
                </c:pt>
              </c:strCache>
            </c:strRef>
          </c:cat>
          <c:val>
            <c:numRef>
              <c:f>'Dane wg podgr. cech'!$E$9:$E$13</c:f>
              <c:numCache>
                <c:formatCode>#,##0.0</c:formatCode>
                <c:ptCount val="5"/>
                <c:pt idx="0" formatCode="General">
                  <c:v>8.2000000000000011</c:v>
                </c:pt>
                <c:pt idx="1">
                  <c:v>9.9</c:v>
                </c:pt>
                <c:pt idx="2">
                  <c:v>15.4</c:v>
                </c:pt>
                <c:pt idx="3">
                  <c:v>12.9</c:v>
                </c:pt>
                <c:pt idx="4">
                  <c:v>8.2408163265305419</c:v>
                </c:pt>
              </c:numCache>
            </c:numRef>
          </c:val>
        </c:ser>
        <c:axId val="184414208"/>
        <c:axId val="184415744"/>
      </c:barChart>
      <c:catAx>
        <c:axId val="184414208"/>
        <c:scaling>
          <c:orientation val="minMax"/>
        </c:scaling>
        <c:axPos val="b"/>
        <c:majorTickMark val="none"/>
        <c:tickLblPos val="nextTo"/>
        <c:txPr>
          <a:bodyPr/>
          <a:lstStyle/>
          <a:p>
            <a:pPr>
              <a:defRPr sz="900"/>
            </a:pPr>
            <a:endParaRPr lang="pl-PL"/>
          </a:p>
        </c:txPr>
        <c:crossAx val="184415744"/>
        <c:crosses val="autoZero"/>
        <c:auto val="1"/>
        <c:lblAlgn val="ctr"/>
        <c:lblOffset val="100"/>
      </c:catAx>
      <c:valAx>
        <c:axId val="184415744"/>
        <c:scaling>
          <c:orientation val="minMax"/>
          <c:max val="16"/>
        </c:scaling>
        <c:axPos val="l"/>
        <c:majorGridlines/>
        <c:title>
          <c:tx>
            <c:rich>
              <a:bodyPr rot="-5400000" vert="horz"/>
              <a:lstStyle/>
              <a:p>
                <a:pPr>
                  <a:defRPr/>
                </a:pPr>
                <a:r>
                  <a:rPr lang="pl-PL" b="0"/>
                  <a:t>%</a:t>
                </a:r>
              </a:p>
            </c:rich>
          </c:tx>
        </c:title>
        <c:numFmt formatCode="#,##0" sourceLinked="0"/>
        <c:majorTickMark val="none"/>
        <c:tickLblPos val="nextTo"/>
        <c:txPr>
          <a:bodyPr/>
          <a:lstStyle/>
          <a:p>
            <a:pPr>
              <a:defRPr sz="900"/>
            </a:pPr>
            <a:endParaRPr lang="pl-PL"/>
          </a:p>
        </c:txPr>
        <c:crossAx val="184414208"/>
        <c:crosses val="autoZero"/>
        <c:crossBetween val="between"/>
      </c:valAx>
    </c:plotArea>
    <c:legend>
      <c:legendPos val="b"/>
      <c:txPr>
        <a:bodyPr/>
        <a:lstStyle/>
        <a:p>
          <a:pPr>
            <a:defRPr sz="900"/>
          </a:pPr>
          <a:endParaRPr lang="pl-PL"/>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stacked"/>
        <c:ser>
          <c:idx val="3"/>
          <c:order val="3"/>
          <c:tx>
            <c:strRef>
              <c:f>Arkusz2!$A$2</c:f>
            </c:strRef>
          </c:tx>
          <c:cat>
            <c:multiLvlStrRef>
              <c:f>Arkusz2!$B$1:$H$1</c:f>
            </c:multiLvlStrRef>
          </c:cat>
          <c:val>
            <c:numRef>
              <c:f>Arkusz2!$B$2:$H$2</c:f>
            </c:numRef>
          </c:val>
        </c:ser>
        <c:ser>
          <c:idx val="4"/>
          <c:order val="4"/>
          <c:tx>
            <c:strRef>
              <c:f>Arkusz2!$A$3</c:f>
            </c:strRef>
          </c:tx>
          <c:cat>
            <c:multiLvlStrRef>
              <c:f>Arkusz2!$B$1:$H$1</c:f>
            </c:multiLvlStrRef>
          </c:cat>
          <c:val>
            <c:numRef>
              <c:f>Arkusz2!$B$3:$H$3</c:f>
            </c:numRef>
          </c:val>
        </c:ser>
        <c:ser>
          <c:idx val="5"/>
          <c:order val="5"/>
          <c:tx>
            <c:strRef>
              <c:f>Arkusz2!$A$4</c:f>
            </c:strRef>
          </c:tx>
          <c:cat>
            <c:multiLvlStrRef>
              <c:f>Arkusz2!$B$1:$H$1</c:f>
            </c:multiLvlStrRef>
          </c:cat>
          <c:val>
            <c:numRef>
              <c:f>Arkusz2!$B$4:$H$4</c:f>
            </c:numRef>
          </c:val>
        </c:ser>
        <c:ser>
          <c:idx val="0"/>
          <c:order val="0"/>
          <c:tx>
            <c:strRef>
              <c:f>'[szkolnictwo 3 lata.xls]nowa sol'!$A$2</c:f>
              <c:strCache>
                <c:ptCount val="1"/>
                <c:pt idx="0">
                  <c:v>podstawowe </c:v>
                </c:pt>
              </c:strCache>
            </c:strRef>
          </c:tx>
          <c:cat>
            <c:numRef>
              <c:f>'[szkolnictwo 3 lata.xls]nowa sol'!$B$1:$D$1</c:f>
              <c:numCache>
                <c:formatCode>General</c:formatCode>
                <c:ptCount val="3"/>
                <c:pt idx="0">
                  <c:v>2007</c:v>
                </c:pt>
                <c:pt idx="1">
                  <c:v>2008</c:v>
                </c:pt>
                <c:pt idx="2">
                  <c:v>2009</c:v>
                </c:pt>
              </c:numCache>
            </c:numRef>
          </c:cat>
          <c:val>
            <c:numRef>
              <c:f>'[szkolnictwo 3 lata.xls]nowa sol'!$B$2:$D$2</c:f>
              <c:numCache>
                <c:formatCode>#,##0</c:formatCode>
                <c:ptCount val="3"/>
                <c:pt idx="0">
                  <c:v>2495</c:v>
                </c:pt>
                <c:pt idx="1">
                  <c:v>2360</c:v>
                </c:pt>
                <c:pt idx="2">
                  <c:v>2270</c:v>
                </c:pt>
              </c:numCache>
            </c:numRef>
          </c:val>
        </c:ser>
        <c:ser>
          <c:idx val="1"/>
          <c:order val="1"/>
          <c:tx>
            <c:strRef>
              <c:f>'[szkolnictwo 3 lata.xls]nowa sol'!$A$3</c:f>
              <c:strCache>
                <c:ptCount val="1"/>
                <c:pt idx="0">
                  <c:v>   gimnazja </c:v>
                </c:pt>
              </c:strCache>
            </c:strRef>
          </c:tx>
          <c:cat>
            <c:numRef>
              <c:f>'[szkolnictwo 3 lata.xls]nowa sol'!$B$1:$D$1</c:f>
              <c:numCache>
                <c:formatCode>General</c:formatCode>
                <c:ptCount val="3"/>
                <c:pt idx="0">
                  <c:v>2007</c:v>
                </c:pt>
                <c:pt idx="1">
                  <c:v>2008</c:v>
                </c:pt>
                <c:pt idx="2">
                  <c:v>2009</c:v>
                </c:pt>
              </c:numCache>
            </c:numRef>
          </c:cat>
          <c:val>
            <c:numRef>
              <c:f>'[szkolnictwo 3 lata.xls]nowa sol'!$B$3:$D$3</c:f>
              <c:numCache>
                <c:formatCode>#,##0</c:formatCode>
                <c:ptCount val="3"/>
                <c:pt idx="0">
                  <c:v>1618</c:v>
                </c:pt>
                <c:pt idx="1">
                  <c:v>1579</c:v>
                </c:pt>
                <c:pt idx="2">
                  <c:v>1402</c:v>
                </c:pt>
              </c:numCache>
            </c:numRef>
          </c:val>
        </c:ser>
        <c:ser>
          <c:idx val="2"/>
          <c:order val="2"/>
          <c:tx>
            <c:strRef>
              <c:f>'[szkolnictwo 3 lata.xls]nowa sol'!$A$4</c:f>
              <c:strCache>
                <c:ptCount val="1"/>
                <c:pt idx="0">
                  <c:v>   ponadgimnazjalne </c:v>
                </c:pt>
              </c:strCache>
            </c:strRef>
          </c:tx>
          <c:cat>
            <c:numRef>
              <c:f>'[szkolnictwo 3 lata.xls]nowa sol'!$B$1:$D$1</c:f>
              <c:numCache>
                <c:formatCode>General</c:formatCode>
                <c:ptCount val="3"/>
                <c:pt idx="0">
                  <c:v>2007</c:v>
                </c:pt>
                <c:pt idx="1">
                  <c:v>2008</c:v>
                </c:pt>
                <c:pt idx="2">
                  <c:v>2009</c:v>
                </c:pt>
              </c:numCache>
            </c:numRef>
          </c:cat>
          <c:val>
            <c:numRef>
              <c:f>'[szkolnictwo 3 lata.xls]nowa sol'!$B$4:$D$4</c:f>
              <c:numCache>
                <c:formatCode>#,##0</c:formatCode>
                <c:ptCount val="3"/>
                <c:pt idx="0">
                  <c:v>2532</c:v>
                </c:pt>
                <c:pt idx="1">
                  <c:v>2464</c:v>
                </c:pt>
                <c:pt idx="2">
                  <c:v>2205</c:v>
                </c:pt>
              </c:numCache>
            </c:numRef>
          </c:val>
        </c:ser>
        <c:gapWidth val="55"/>
        <c:overlap val="100"/>
        <c:axId val="186819712"/>
        <c:axId val="186821248"/>
      </c:barChart>
      <c:catAx>
        <c:axId val="186819712"/>
        <c:scaling>
          <c:orientation val="minMax"/>
        </c:scaling>
        <c:axPos val="b"/>
        <c:numFmt formatCode="General" sourceLinked="1"/>
        <c:majorTickMark val="none"/>
        <c:tickLblPos val="nextTo"/>
        <c:crossAx val="186821248"/>
        <c:crosses val="autoZero"/>
        <c:auto val="1"/>
        <c:lblAlgn val="ctr"/>
        <c:lblOffset val="100"/>
      </c:catAx>
      <c:valAx>
        <c:axId val="186821248"/>
        <c:scaling>
          <c:orientation val="minMax"/>
        </c:scaling>
        <c:axPos val="l"/>
        <c:majorGridlines/>
        <c:title>
          <c:tx>
            <c:rich>
              <a:bodyPr rot="-5400000" vert="horz"/>
              <a:lstStyle/>
              <a:p>
                <a:pPr>
                  <a:defRPr/>
                </a:pPr>
                <a:r>
                  <a:rPr lang="pl-PL" sz="900" b="0"/>
                  <a:t>liczba osób</a:t>
                </a:r>
              </a:p>
            </c:rich>
          </c:tx>
        </c:title>
        <c:numFmt formatCode="#,##0" sourceLinked="1"/>
        <c:majorTickMark val="none"/>
        <c:tickLblPos val="nextTo"/>
        <c:txPr>
          <a:bodyPr/>
          <a:lstStyle/>
          <a:p>
            <a:pPr>
              <a:defRPr sz="900"/>
            </a:pPr>
            <a:endParaRPr lang="pl-PL"/>
          </a:p>
        </c:txPr>
        <c:crossAx val="186819712"/>
        <c:crosses val="autoZero"/>
        <c:crossBetween val="between"/>
      </c:valAx>
    </c:plotArea>
    <c:legend>
      <c:legendPos val="b"/>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973195918077809"/>
          <c:y val="6.4799988811381978E-2"/>
          <c:w val="0.84195401250520219"/>
          <c:h val="0.51027938044977594"/>
        </c:manualLayout>
      </c:layout>
      <c:barChart>
        <c:barDir val="col"/>
        <c:grouping val="clustered"/>
        <c:ser>
          <c:idx val="0"/>
          <c:order val="0"/>
          <c:tx>
            <c:strRef>
              <c:f>Arkusz3!$B$1</c:f>
              <c:strCache>
                <c:ptCount val="1"/>
                <c:pt idx="0">
                  <c:v>średnie wyniki egzaminu część humanistyczna</c:v>
                </c:pt>
              </c:strCache>
            </c:strRef>
          </c:tx>
          <c:cat>
            <c:strRef>
              <c:f>Arkusz3!$A$2:$A$5</c:f>
              <c:strCache>
                <c:ptCount val="4"/>
                <c:pt idx="0">
                  <c:v>Nowa Sól</c:v>
                </c:pt>
                <c:pt idx="1">
                  <c:v>średnie wyniki dla miast  o podobnej liczbie mieszkańców</c:v>
                </c:pt>
                <c:pt idx="2">
                  <c:v>lubuskie</c:v>
                </c:pt>
                <c:pt idx="3">
                  <c:v>Polska</c:v>
                </c:pt>
              </c:strCache>
            </c:strRef>
          </c:cat>
          <c:val>
            <c:numRef>
              <c:f>Arkusz3!$B$2:$B$5</c:f>
              <c:numCache>
                <c:formatCode>0.00</c:formatCode>
                <c:ptCount val="4"/>
                <c:pt idx="0" formatCode="General">
                  <c:v>28.88</c:v>
                </c:pt>
                <c:pt idx="1">
                  <c:v>31.132972972972983</c:v>
                </c:pt>
                <c:pt idx="2" formatCode="General">
                  <c:v>29.16</c:v>
                </c:pt>
                <c:pt idx="3" formatCode="General">
                  <c:v>30.34</c:v>
                </c:pt>
              </c:numCache>
            </c:numRef>
          </c:val>
        </c:ser>
        <c:ser>
          <c:idx val="1"/>
          <c:order val="1"/>
          <c:tx>
            <c:strRef>
              <c:f>Arkusz3!$C$1</c:f>
              <c:strCache>
                <c:ptCount val="1"/>
                <c:pt idx="0">
                  <c:v>średnie wyniki egzaminu część matematyczno-przyrodnicza</c:v>
                </c:pt>
              </c:strCache>
            </c:strRef>
          </c:tx>
          <c:cat>
            <c:strRef>
              <c:f>Arkusz3!$A$2:$A$5</c:f>
              <c:strCache>
                <c:ptCount val="4"/>
                <c:pt idx="0">
                  <c:v>Nowa Sól</c:v>
                </c:pt>
                <c:pt idx="1">
                  <c:v>średnie wyniki dla miast  o podobnej liczbie mieszkańców</c:v>
                </c:pt>
                <c:pt idx="2">
                  <c:v>lubuskie</c:v>
                </c:pt>
                <c:pt idx="3">
                  <c:v>Polska</c:v>
                </c:pt>
              </c:strCache>
            </c:strRef>
          </c:cat>
          <c:val>
            <c:numRef>
              <c:f>Arkusz3!$C$2:$C$5</c:f>
              <c:numCache>
                <c:formatCode>0.00</c:formatCode>
                <c:ptCount val="4"/>
                <c:pt idx="0" formatCode="General">
                  <c:v>21.779999999999987</c:v>
                </c:pt>
                <c:pt idx="1">
                  <c:v>24.722702702702225</c:v>
                </c:pt>
                <c:pt idx="2" formatCode="General">
                  <c:v>23.18</c:v>
                </c:pt>
                <c:pt idx="3" formatCode="General">
                  <c:v>23.9</c:v>
                </c:pt>
              </c:numCache>
            </c:numRef>
          </c:val>
        </c:ser>
        <c:ser>
          <c:idx val="2"/>
          <c:order val="2"/>
          <c:tx>
            <c:strRef>
              <c:f>Arkusz3!$D$1</c:f>
              <c:strCache>
                <c:ptCount val="1"/>
                <c:pt idx="0">
                  <c:v>średnie wyniki egzaminu język angielski</c:v>
                </c:pt>
              </c:strCache>
            </c:strRef>
          </c:tx>
          <c:cat>
            <c:strRef>
              <c:f>Arkusz3!$A$2:$A$5</c:f>
              <c:strCache>
                <c:ptCount val="4"/>
                <c:pt idx="0">
                  <c:v>Nowa Sól</c:v>
                </c:pt>
                <c:pt idx="1">
                  <c:v>średnie wyniki dla miast  o podobnej liczbie mieszkańców</c:v>
                </c:pt>
                <c:pt idx="2">
                  <c:v>lubuskie</c:v>
                </c:pt>
                <c:pt idx="3">
                  <c:v>Polska</c:v>
                </c:pt>
              </c:strCache>
            </c:strRef>
          </c:cat>
          <c:val>
            <c:numRef>
              <c:f>Arkusz3!$D$2:$D$5</c:f>
              <c:numCache>
                <c:formatCode>0.00</c:formatCode>
                <c:ptCount val="4"/>
                <c:pt idx="0" formatCode="General">
                  <c:v>32.96</c:v>
                </c:pt>
                <c:pt idx="1">
                  <c:v>31.663478260869557</c:v>
                </c:pt>
                <c:pt idx="2" formatCode="General">
                  <c:v>30.55</c:v>
                </c:pt>
                <c:pt idx="3" formatCode="General">
                  <c:v>29.88</c:v>
                </c:pt>
              </c:numCache>
            </c:numRef>
          </c:val>
        </c:ser>
        <c:axId val="186859520"/>
        <c:axId val="186861056"/>
      </c:barChart>
      <c:catAx>
        <c:axId val="186859520"/>
        <c:scaling>
          <c:orientation val="minMax"/>
        </c:scaling>
        <c:axPos val="b"/>
        <c:majorTickMark val="none"/>
        <c:tickLblPos val="nextTo"/>
        <c:txPr>
          <a:bodyPr/>
          <a:lstStyle/>
          <a:p>
            <a:pPr>
              <a:defRPr sz="900"/>
            </a:pPr>
            <a:endParaRPr lang="pl-PL"/>
          </a:p>
        </c:txPr>
        <c:crossAx val="186861056"/>
        <c:crosses val="autoZero"/>
        <c:auto val="1"/>
        <c:lblAlgn val="ctr"/>
        <c:lblOffset val="100"/>
      </c:catAx>
      <c:valAx>
        <c:axId val="186861056"/>
        <c:scaling>
          <c:orientation val="minMax"/>
        </c:scaling>
        <c:axPos val="l"/>
        <c:majorGridlines/>
        <c:title>
          <c:tx>
            <c:rich>
              <a:bodyPr rot="-5400000" vert="horz"/>
              <a:lstStyle/>
              <a:p>
                <a:pPr>
                  <a:defRPr/>
                </a:pPr>
                <a:r>
                  <a:rPr lang="pl-PL" sz="900" b="0"/>
                  <a:t>liczba punktów</a:t>
                </a:r>
              </a:p>
            </c:rich>
          </c:tx>
        </c:title>
        <c:numFmt formatCode="General" sourceLinked="1"/>
        <c:majorTickMark val="none"/>
        <c:tickLblPos val="nextTo"/>
        <c:txPr>
          <a:bodyPr/>
          <a:lstStyle/>
          <a:p>
            <a:pPr>
              <a:defRPr sz="900"/>
            </a:pPr>
            <a:endParaRPr lang="pl-PL"/>
          </a:p>
        </c:txPr>
        <c:crossAx val="186859520"/>
        <c:crosses val="autoZero"/>
        <c:crossBetween val="between"/>
      </c:valAx>
    </c:plotArea>
    <c:legend>
      <c:legendPos val="b"/>
      <c:txPr>
        <a:bodyPr/>
        <a:lstStyle/>
        <a:p>
          <a:pPr>
            <a:defRPr sz="900"/>
          </a:pPr>
          <a:endParaRPr lang="pl-PL"/>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1"/>
          <c:order val="1"/>
          <c:tx>
            <c:strRef>
              <c:f>Arkusz2!$B$1</c:f>
            </c:strRef>
          </c:tx>
          <c:cat>
            <c:multiLvlStrRef>
              <c:f>Arkusz2!$A$2:$A$5</c:f>
            </c:multiLvlStrRef>
          </c:cat>
          <c:val>
            <c:numRef>
              <c:f>Arkusz2!$B$2:$B$5</c:f>
            </c:numRef>
          </c:val>
        </c:ser>
        <c:ser>
          <c:idx val="0"/>
          <c:order val="0"/>
          <c:tx>
            <c:strRef>
              <c:f>Arkusz2!$B$1</c:f>
              <c:strCache>
                <c:ptCount val="1"/>
                <c:pt idx="0">
                  <c:v>wyniki sprawdzianu w kl.VI</c:v>
                </c:pt>
              </c:strCache>
            </c:strRef>
          </c:tx>
          <c:cat>
            <c:strRef>
              <c:f>Arkusz2!$A$2:$A$5</c:f>
              <c:strCache>
                <c:ptCount val="4"/>
                <c:pt idx="0">
                  <c:v>Nowa Sól</c:v>
                </c:pt>
                <c:pt idx="1">
                  <c:v>średnie wyniki dla miast  o podobnej liczbie mieszkańców</c:v>
                </c:pt>
                <c:pt idx="2">
                  <c:v>lubuskie</c:v>
                </c:pt>
                <c:pt idx="3">
                  <c:v>Polska</c:v>
                </c:pt>
              </c:strCache>
            </c:strRef>
          </c:cat>
          <c:val>
            <c:numRef>
              <c:f>Arkusz2!$B$2:$B$5</c:f>
              <c:numCache>
                <c:formatCode>General</c:formatCode>
                <c:ptCount val="4"/>
                <c:pt idx="0">
                  <c:v>24.4</c:v>
                </c:pt>
                <c:pt idx="1">
                  <c:v>25.43</c:v>
                </c:pt>
                <c:pt idx="2">
                  <c:v>24.06</c:v>
                </c:pt>
                <c:pt idx="3">
                  <c:v>24.56</c:v>
                </c:pt>
              </c:numCache>
            </c:numRef>
          </c:val>
        </c:ser>
        <c:axId val="186881920"/>
        <c:axId val="186883456"/>
      </c:barChart>
      <c:catAx>
        <c:axId val="186881920"/>
        <c:scaling>
          <c:orientation val="minMax"/>
        </c:scaling>
        <c:axPos val="b"/>
        <c:majorTickMark val="none"/>
        <c:tickLblPos val="nextTo"/>
        <c:txPr>
          <a:bodyPr/>
          <a:lstStyle/>
          <a:p>
            <a:pPr>
              <a:defRPr sz="900"/>
            </a:pPr>
            <a:endParaRPr lang="pl-PL"/>
          </a:p>
        </c:txPr>
        <c:crossAx val="186883456"/>
        <c:crosses val="autoZero"/>
        <c:auto val="1"/>
        <c:lblAlgn val="ctr"/>
        <c:lblOffset val="100"/>
      </c:catAx>
      <c:valAx>
        <c:axId val="186883456"/>
        <c:scaling>
          <c:orientation val="minMax"/>
        </c:scaling>
        <c:axPos val="l"/>
        <c:majorGridlines/>
        <c:title>
          <c:tx>
            <c:rich>
              <a:bodyPr rot="-5400000" vert="horz"/>
              <a:lstStyle/>
              <a:p>
                <a:pPr>
                  <a:defRPr/>
                </a:pPr>
                <a:r>
                  <a:rPr lang="pl-PL" sz="900" b="0"/>
                  <a:t>liczba punktów</a:t>
                </a:r>
              </a:p>
            </c:rich>
          </c:tx>
        </c:title>
        <c:numFmt formatCode="General" sourceLinked="1"/>
        <c:majorTickMark val="none"/>
        <c:tickLblPos val="nextTo"/>
        <c:txPr>
          <a:bodyPr/>
          <a:lstStyle/>
          <a:p>
            <a:pPr>
              <a:defRPr sz="900"/>
            </a:pPr>
            <a:endParaRPr lang="pl-PL"/>
          </a:p>
        </c:txPr>
        <c:crossAx val="18688192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9455655248742766E-2"/>
          <c:y val="5.0834789481383306E-2"/>
          <c:w val="0.8713108992622165"/>
          <c:h val="0.56258901546440165"/>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Zbiorczy!$C$12:$D$12</c:f>
              <c:numCache>
                <c:formatCode>0%</c:formatCode>
                <c:ptCount val="2"/>
                <c:pt idx="0">
                  <c:v>0.14237855946398617</c:v>
                </c:pt>
                <c:pt idx="1">
                  <c:v>0.85762144053602274</c:v>
                </c:pt>
              </c:numCache>
            </c:numRef>
          </c:val>
        </c:ser>
        <c:ser>
          <c:idx val="1"/>
          <c:order val="1"/>
          <c:tx>
            <c:v>Kobiety</c:v>
          </c:tx>
          <c:dLbls>
            <c:txPr>
              <a:bodyPr rot="-5400000" vert="horz"/>
              <a:lstStyle/>
              <a:p>
                <a:pPr>
                  <a:defRPr sz="900"/>
                </a:pPr>
                <a:endParaRPr lang="pl-PL"/>
              </a:p>
            </c:txPr>
            <c:showSerName val="1"/>
          </c:dLbls>
          <c:val>
            <c:numRef>
              <c:f>Zbiorczy!$F$12:$G$12</c:f>
              <c:numCache>
                <c:formatCode>0%</c:formatCode>
                <c:ptCount val="2"/>
                <c:pt idx="0">
                  <c:v>0.12538699690402477</c:v>
                </c:pt>
                <c:pt idx="1">
                  <c:v>0.87461300309598189</c:v>
                </c:pt>
              </c:numCache>
            </c:numRef>
          </c:val>
        </c:ser>
        <c:ser>
          <c:idx val="9"/>
          <c:order val="2"/>
          <c:val>
            <c:numLit>
              <c:formatCode>General</c:formatCode>
              <c:ptCount val="1"/>
              <c:pt idx="0">
                <c:v>0</c:v>
              </c:pt>
            </c:numLit>
          </c:val>
        </c:ser>
        <c:ser>
          <c:idx val="2"/>
          <c:order val="3"/>
          <c:tx>
            <c:v>Wykształcenie wyższe</c:v>
          </c:tx>
          <c:val>
            <c:numRef>
              <c:f>Zbiorczy!$I$12:$J$12</c:f>
              <c:numCache>
                <c:formatCode>0%</c:formatCode>
                <c:ptCount val="2"/>
                <c:pt idx="0">
                  <c:v>0.23125000000000001</c:v>
                </c:pt>
                <c:pt idx="1">
                  <c:v>0.7687500000000077</c:v>
                </c:pt>
              </c:numCache>
            </c:numRef>
          </c:val>
        </c:ser>
        <c:ser>
          <c:idx val="3"/>
          <c:order val="4"/>
          <c:tx>
            <c:v>Wykształcenie średnie i policealne</c:v>
          </c:tx>
          <c:val>
            <c:numRef>
              <c:f>Zbiorczy!$L$12:$M$12</c:f>
              <c:numCache>
                <c:formatCode>0%</c:formatCode>
                <c:ptCount val="2"/>
                <c:pt idx="0">
                  <c:v>0.21167883211678831</c:v>
                </c:pt>
                <c:pt idx="1">
                  <c:v>0.78832116788321149</c:v>
                </c:pt>
              </c:numCache>
            </c:numRef>
          </c:val>
        </c:ser>
        <c:ser>
          <c:idx val="4"/>
          <c:order val="5"/>
          <c:tx>
            <c:v>Wykształcenie zasadnicze zawodowe i poniżej</c:v>
          </c:tx>
          <c:val>
            <c:numRef>
              <c:f>Zbiorczy!$O$12:$P$12</c:f>
              <c:numCache>
                <c:formatCode>0%</c:formatCode>
                <c:ptCount val="2"/>
                <c:pt idx="0">
                  <c:v>6.25E-2</c:v>
                </c:pt>
                <c:pt idx="1">
                  <c:v>0.9375</c:v>
                </c:pt>
              </c:numCache>
            </c:numRef>
          </c:val>
        </c:ser>
        <c:ser>
          <c:idx val="10"/>
          <c:order val="6"/>
          <c:val>
            <c:numLit>
              <c:formatCode>General</c:formatCode>
              <c:ptCount val="1"/>
              <c:pt idx="0">
                <c:v>0</c:v>
              </c:pt>
            </c:numLit>
          </c:val>
        </c:ser>
        <c:ser>
          <c:idx val="5"/>
          <c:order val="7"/>
          <c:tx>
            <c:v>Wiek: 18-29</c:v>
          </c:tx>
          <c:val>
            <c:numRef>
              <c:f>Zbiorczy!$R$12:$S$12</c:f>
              <c:numCache>
                <c:formatCode>0%</c:formatCode>
                <c:ptCount val="2"/>
                <c:pt idx="0">
                  <c:v>0.11726384364820988</c:v>
                </c:pt>
                <c:pt idx="1">
                  <c:v>0.8827361563517917</c:v>
                </c:pt>
              </c:numCache>
            </c:numRef>
          </c:val>
        </c:ser>
        <c:ser>
          <c:idx val="6"/>
          <c:order val="8"/>
          <c:tx>
            <c:v>Wiek: 30-39</c:v>
          </c:tx>
          <c:val>
            <c:numRef>
              <c:f>Zbiorczy!$U$12:$V$12</c:f>
              <c:numCache>
                <c:formatCode>0%</c:formatCode>
                <c:ptCount val="2"/>
                <c:pt idx="0">
                  <c:v>0.11295681063122924</c:v>
                </c:pt>
                <c:pt idx="1">
                  <c:v>0.8870431893687708</c:v>
                </c:pt>
              </c:numCache>
            </c:numRef>
          </c:val>
        </c:ser>
        <c:ser>
          <c:idx val="7"/>
          <c:order val="9"/>
          <c:tx>
            <c:v>Wiek: 40-59</c:v>
          </c:tx>
          <c:val>
            <c:numRef>
              <c:f>Zbiorczy!$X$12:$Y$12</c:f>
              <c:numCache>
                <c:formatCode>0%</c:formatCode>
                <c:ptCount val="2"/>
                <c:pt idx="0">
                  <c:v>0.16293279022403259</c:v>
                </c:pt>
                <c:pt idx="1">
                  <c:v>0.83706720977595861</c:v>
                </c:pt>
              </c:numCache>
            </c:numRef>
          </c:val>
        </c:ser>
        <c:ser>
          <c:idx val="8"/>
          <c:order val="10"/>
          <c:tx>
            <c:v>Wiek: 60 i powyżej</c:v>
          </c:tx>
          <c:val>
            <c:numRef>
              <c:f>Zbiorczy!$AA$12:$AB$12</c:f>
              <c:numCache>
                <c:formatCode>0%</c:formatCode>
                <c:ptCount val="2"/>
                <c:pt idx="0">
                  <c:v>7.9136690647483118E-2</c:v>
                </c:pt>
                <c:pt idx="1">
                  <c:v>0.92086330935251759</c:v>
                </c:pt>
              </c:numCache>
            </c:numRef>
          </c:val>
        </c:ser>
        <c:gapWidth val="136"/>
        <c:overlap val="-15"/>
        <c:axId val="187490304"/>
        <c:axId val="187491840"/>
      </c:barChart>
      <c:catAx>
        <c:axId val="187490304"/>
        <c:scaling>
          <c:orientation val="minMax"/>
        </c:scaling>
        <c:axPos val="b"/>
        <c:majorGridlines/>
        <c:tickLblPos val="nextTo"/>
        <c:crossAx val="187491840"/>
        <c:crosses val="autoZero"/>
        <c:auto val="1"/>
        <c:lblAlgn val="ctr"/>
        <c:lblOffset val="100"/>
      </c:catAx>
      <c:valAx>
        <c:axId val="187491840"/>
        <c:scaling>
          <c:orientation val="minMax"/>
        </c:scaling>
        <c:axPos val="l"/>
        <c:numFmt formatCode="0%" sourceLinked="1"/>
        <c:tickLblPos val="nextTo"/>
        <c:txPr>
          <a:bodyPr/>
          <a:lstStyle/>
          <a:p>
            <a:pPr>
              <a:defRPr sz="800"/>
            </a:pPr>
            <a:endParaRPr lang="pl-PL"/>
          </a:p>
        </c:txPr>
        <c:crossAx val="187490304"/>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091574971232153E-2"/>
          <c:y val="0.72193697650537625"/>
          <c:w val="0.89397759634115281"/>
          <c:h val="0.25033495650477883"/>
        </c:manualLayout>
      </c:layout>
      <c:txPr>
        <a:bodyPr/>
        <a:lstStyle/>
        <a:p>
          <a:pPr>
            <a:defRPr sz="800"/>
          </a:pPr>
          <a:endParaRPr lang="pl-PL"/>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Zbiorczy!$E$12</c:f>
              <c:numCache>
                <c:formatCode>General</c:formatCode>
                <c:ptCount val="1"/>
                <c:pt idx="0">
                  <c:v>2.9867841409691631</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Zbiorczy!$H$12</c:f>
              <c:numCache>
                <c:formatCode>General</c:formatCode>
                <c:ptCount val="1"/>
                <c:pt idx="0">
                  <c:v>2.5993150684931505</c:v>
                </c:pt>
              </c:numCache>
            </c:numRef>
          </c:val>
        </c:ser>
        <c:ser>
          <c:idx val="9"/>
          <c:order val="2"/>
          <c:val>
            <c:numLit>
              <c:formatCode>General</c:formatCode>
              <c:ptCount val="1"/>
              <c:pt idx="0">
                <c:v>0</c:v>
              </c:pt>
            </c:numLit>
          </c:val>
        </c:ser>
        <c:ser>
          <c:idx val="2"/>
          <c:order val="3"/>
          <c:tx>
            <c:v>Wykształcenie wyższe</c:v>
          </c:tx>
          <c:val>
            <c:numRef>
              <c:f>Zbiorczy!$K$12</c:f>
              <c:numCache>
                <c:formatCode>General</c:formatCode>
                <c:ptCount val="1"/>
                <c:pt idx="0">
                  <c:v>2.9701492537313432</c:v>
                </c:pt>
              </c:numCache>
            </c:numRef>
          </c:val>
        </c:ser>
        <c:ser>
          <c:idx val="3"/>
          <c:order val="4"/>
          <c:tx>
            <c:v>Wykształcenie średnie i policealne</c:v>
          </c:tx>
          <c:val>
            <c:numRef>
              <c:f>Zbiorczy!$N$12</c:f>
              <c:numCache>
                <c:formatCode>General</c:formatCode>
                <c:ptCount val="1"/>
                <c:pt idx="0">
                  <c:v>2.8081395348837197</c:v>
                </c:pt>
              </c:numCache>
            </c:numRef>
          </c:val>
        </c:ser>
        <c:ser>
          <c:idx val="4"/>
          <c:order val="5"/>
          <c:tx>
            <c:v>Wykształcenie zasadnicze zawodowe i poniżej</c:v>
          </c:tx>
          <c:val>
            <c:numRef>
              <c:f>Zbiorczy!$Q$12</c:f>
              <c:numCache>
                <c:formatCode>General</c:formatCode>
                <c:ptCount val="1"/>
                <c:pt idx="0">
                  <c:v>2.6953405017921201</c:v>
                </c:pt>
              </c:numCache>
            </c:numRef>
          </c:val>
        </c:ser>
        <c:ser>
          <c:idx val="10"/>
          <c:order val="6"/>
          <c:val>
            <c:numLit>
              <c:formatCode>General</c:formatCode>
              <c:ptCount val="1"/>
              <c:pt idx="0">
                <c:v>0</c:v>
              </c:pt>
            </c:numLit>
          </c:val>
        </c:ser>
        <c:ser>
          <c:idx val="5"/>
          <c:order val="7"/>
          <c:tx>
            <c:v>Wiek: 18-29</c:v>
          </c:tx>
          <c:val>
            <c:numRef>
              <c:f>Zbiorczy!$T$12</c:f>
              <c:numCache>
                <c:formatCode>General</c:formatCode>
                <c:ptCount val="1"/>
                <c:pt idx="0">
                  <c:v>3.1938775510204405</c:v>
                </c:pt>
              </c:numCache>
            </c:numRef>
          </c:val>
        </c:ser>
        <c:ser>
          <c:idx val="6"/>
          <c:order val="8"/>
          <c:tx>
            <c:v>Wiek: 30-39</c:v>
          </c:tx>
          <c:val>
            <c:numRef>
              <c:f>Zbiorczy!$W$12</c:f>
              <c:numCache>
                <c:formatCode>General</c:formatCode>
                <c:ptCount val="1"/>
                <c:pt idx="0">
                  <c:v>3.3586956521739131</c:v>
                </c:pt>
              </c:numCache>
            </c:numRef>
          </c:val>
        </c:ser>
        <c:ser>
          <c:idx val="7"/>
          <c:order val="9"/>
          <c:tx>
            <c:v>Wiek: 40-59</c:v>
          </c:tx>
          <c:val>
            <c:numRef>
              <c:f>Zbiorczy!$Z$12</c:f>
              <c:numCache>
                <c:formatCode>General</c:formatCode>
                <c:ptCount val="1"/>
                <c:pt idx="0">
                  <c:v>2.8457943925233646</c:v>
                </c:pt>
              </c:numCache>
            </c:numRef>
          </c:val>
        </c:ser>
        <c:ser>
          <c:idx val="8"/>
          <c:order val="10"/>
          <c:tx>
            <c:v>Wiek: 60 i powyżej</c:v>
          </c:tx>
          <c:val>
            <c:numRef>
              <c:f>Zbiorczy!$AC$12</c:f>
              <c:numCache>
                <c:formatCode>General</c:formatCode>
                <c:ptCount val="1"/>
                <c:pt idx="0">
                  <c:v>1.7522123893805321</c:v>
                </c:pt>
              </c:numCache>
            </c:numRef>
          </c:val>
        </c:ser>
        <c:axId val="188009472"/>
        <c:axId val="188019456"/>
      </c:barChart>
      <c:catAx>
        <c:axId val="188009472"/>
        <c:scaling>
          <c:orientation val="minMax"/>
        </c:scaling>
        <c:delete val="1"/>
        <c:axPos val="b"/>
        <c:tickLblPos val="none"/>
        <c:crossAx val="188019456"/>
        <c:crosses val="autoZero"/>
        <c:auto val="1"/>
        <c:lblAlgn val="ctr"/>
        <c:lblOffset val="100"/>
      </c:catAx>
      <c:valAx>
        <c:axId val="188019456"/>
        <c:scaling>
          <c:orientation val="minMax"/>
          <c:max val="3.5"/>
        </c:scaling>
        <c:axPos val="l"/>
        <c:numFmt formatCode="General" sourceLinked="1"/>
        <c:tickLblPos val="nextTo"/>
        <c:txPr>
          <a:bodyPr/>
          <a:lstStyle/>
          <a:p>
            <a:pPr>
              <a:defRPr sz="800"/>
            </a:pPr>
            <a:endParaRPr lang="pl-PL"/>
          </a:p>
        </c:txPr>
        <c:crossAx val="18800947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txPr>
        <a:bodyPr/>
        <a:lstStyle/>
        <a:p>
          <a:pPr>
            <a:defRPr sz="800"/>
          </a:pPr>
          <a:endParaRPr lang="pl-PL"/>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Zbiorczy!$C$13:$D$13</c:f>
              <c:numCache>
                <c:formatCode>0%</c:formatCode>
                <c:ptCount val="2"/>
                <c:pt idx="0">
                  <c:v>0.19962686567164167</c:v>
                </c:pt>
                <c:pt idx="1">
                  <c:v>0.80037313432835822</c:v>
                </c:pt>
              </c:numCache>
            </c:numRef>
          </c:val>
        </c:ser>
        <c:ser>
          <c:idx val="1"/>
          <c:order val="1"/>
          <c:tx>
            <c:v>Kobiety</c:v>
          </c:tx>
          <c:dLbls>
            <c:txPr>
              <a:bodyPr rot="-5400000" vert="horz"/>
              <a:lstStyle/>
              <a:p>
                <a:pPr>
                  <a:defRPr sz="900"/>
                </a:pPr>
                <a:endParaRPr lang="pl-PL"/>
              </a:p>
            </c:txPr>
            <c:showSerName val="1"/>
          </c:dLbls>
          <c:val>
            <c:numRef>
              <c:f>Zbiorczy!$F$13:$G$13</c:f>
              <c:numCache>
                <c:formatCode>0%</c:formatCode>
                <c:ptCount val="2"/>
                <c:pt idx="0">
                  <c:v>0.18134715025906892</c:v>
                </c:pt>
                <c:pt idx="1">
                  <c:v>0.81865284974092956</c:v>
                </c:pt>
              </c:numCache>
            </c:numRef>
          </c:val>
        </c:ser>
        <c:ser>
          <c:idx val="9"/>
          <c:order val="2"/>
          <c:val>
            <c:numLit>
              <c:formatCode>General</c:formatCode>
              <c:ptCount val="1"/>
              <c:pt idx="0">
                <c:v>0</c:v>
              </c:pt>
            </c:numLit>
          </c:val>
        </c:ser>
        <c:ser>
          <c:idx val="2"/>
          <c:order val="3"/>
          <c:tx>
            <c:v>Wykształcenie wyższe</c:v>
          </c:tx>
          <c:val>
            <c:numRef>
              <c:f>Zbiorczy!$I$13:$J$13</c:f>
              <c:numCache>
                <c:formatCode>0%</c:formatCode>
                <c:ptCount val="2"/>
                <c:pt idx="0">
                  <c:v>0.32812500000000294</c:v>
                </c:pt>
                <c:pt idx="1">
                  <c:v>0.67187500000001177</c:v>
                </c:pt>
              </c:numCache>
            </c:numRef>
          </c:val>
        </c:ser>
        <c:ser>
          <c:idx val="3"/>
          <c:order val="4"/>
          <c:tx>
            <c:v>Wykształcenie średnie i policealne</c:v>
          </c:tx>
          <c:val>
            <c:numRef>
              <c:f>Zbiorczy!$L$13:$M$13</c:f>
              <c:numCache>
                <c:formatCode>0%</c:formatCode>
                <c:ptCount val="2"/>
                <c:pt idx="0">
                  <c:v>0.17002881844380405</c:v>
                </c:pt>
                <c:pt idx="1">
                  <c:v>0.82997118155619665</c:v>
                </c:pt>
              </c:numCache>
            </c:numRef>
          </c:val>
        </c:ser>
        <c:ser>
          <c:idx val="4"/>
          <c:order val="5"/>
          <c:tx>
            <c:v>Wykształcenie zasadnicze zawodowe i poniżej</c:v>
          </c:tx>
          <c:val>
            <c:numRef>
              <c:f>Zbiorczy!$O$13:$P$13</c:f>
              <c:numCache>
                <c:formatCode>0%</c:formatCode>
                <c:ptCount val="2"/>
                <c:pt idx="0">
                  <c:v>0.15734265734265734</c:v>
                </c:pt>
                <c:pt idx="1">
                  <c:v>0.84265734265734271</c:v>
                </c:pt>
              </c:numCache>
            </c:numRef>
          </c:val>
        </c:ser>
        <c:ser>
          <c:idx val="10"/>
          <c:order val="6"/>
          <c:val>
            <c:numLit>
              <c:formatCode>General</c:formatCode>
              <c:ptCount val="1"/>
              <c:pt idx="0">
                <c:v>0</c:v>
              </c:pt>
            </c:numLit>
          </c:val>
        </c:ser>
        <c:ser>
          <c:idx val="5"/>
          <c:order val="7"/>
          <c:tx>
            <c:v>Wiek: 18-29</c:v>
          </c:tx>
          <c:val>
            <c:numRef>
              <c:f>Zbiorczy!$R$13:$S$13</c:f>
              <c:numCache>
                <c:formatCode>0%</c:formatCode>
                <c:ptCount val="2"/>
                <c:pt idx="0">
                  <c:v>0.2097378277153559</c:v>
                </c:pt>
                <c:pt idx="1">
                  <c:v>0.79026217228464357</c:v>
                </c:pt>
              </c:numCache>
            </c:numRef>
          </c:val>
        </c:ser>
        <c:ser>
          <c:idx val="6"/>
          <c:order val="8"/>
          <c:tx>
            <c:v>Wiek: 30-39</c:v>
          </c:tx>
          <c:val>
            <c:numRef>
              <c:f>Zbiorczy!$U$13:$V$13</c:f>
              <c:numCache>
                <c:formatCode>0%</c:formatCode>
                <c:ptCount val="2"/>
                <c:pt idx="0">
                  <c:v>0.1517509727626459</c:v>
                </c:pt>
                <c:pt idx="1">
                  <c:v>0.84824902723735462</c:v>
                </c:pt>
              </c:numCache>
            </c:numRef>
          </c:val>
        </c:ser>
        <c:ser>
          <c:idx val="7"/>
          <c:order val="9"/>
          <c:tx>
            <c:v>Wiek: 40-59</c:v>
          </c:tx>
          <c:val>
            <c:numRef>
              <c:f>Zbiorczy!$X$13:$Y$13</c:f>
              <c:numCache>
                <c:formatCode>0%</c:formatCode>
                <c:ptCount val="2"/>
                <c:pt idx="0">
                  <c:v>0.17848970251716575</c:v>
                </c:pt>
                <c:pt idx="1">
                  <c:v>0.82151029748283755</c:v>
                </c:pt>
              </c:numCache>
            </c:numRef>
          </c:val>
        </c:ser>
        <c:ser>
          <c:idx val="8"/>
          <c:order val="10"/>
          <c:tx>
            <c:v>Wiek: 60 i powyżej</c:v>
          </c:tx>
          <c:val>
            <c:numRef>
              <c:f>Zbiorczy!$AA$13:$AB$13</c:f>
              <c:numCache>
                <c:formatCode>0%</c:formatCode>
                <c:ptCount val="2"/>
                <c:pt idx="0">
                  <c:v>0.23972602739726223</c:v>
                </c:pt>
                <c:pt idx="1">
                  <c:v>0.76027397260274165</c:v>
                </c:pt>
              </c:numCache>
            </c:numRef>
          </c:val>
        </c:ser>
        <c:gapWidth val="136"/>
        <c:overlap val="-15"/>
        <c:axId val="188086528"/>
        <c:axId val="188162048"/>
      </c:barChart>
      <c:catAx>
        <c:axId val="188086528"/>
        <c:scaling>
          <c:orientation val="minMax"/>
        </c:scaling>
        <c:axPos val="b"/>
        <c:majorGridlines/>
        <c:tickLblPos val="nextTo"/>
        <c:crossAx val="188162048"/>
        <c:crosses val="autoZero"/>
        <c:auto val="1"/>
        <c:lblAlgn val="ctr"/>
        <c:lblOffset val="100"/>
      </c:catAx>
      <c:valAx>
        <c:axId val="188162048"/>
        <c:scaling>
          <c:orientation val="minMax"/>
        </c:scaling>
        <c:axPos val="l"/>
        <c:numFmt formatCode="0%" sourceLinked="1"/>
        <c:tickLblPos val="nextTo"/>
        <c:txPr>
          <a:bodyPr/>
          <a:lstStyle/>
          <a:p>
            <a:pPr>
              <a:defRPr sz="800"/>
            </a:pPr>
            <a:endParaRPr lang="pl-PL"/>
          </a:p>
        </c:txPr>
        <c:crossAx val="18808652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txPr>
        <a:bodyPr/>
        <a:lstStyle/>
        <a:p>
          <a:pPr>
            <a:defRPr sz="800"/>
          </a:pPr>
          <a:endParaRPr lang="pl-PL"/>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Zbiorczy!$E$13</c:f>
              <c:numCache>
                <c:formatCode>General</c:formatCode>
                <c:ptCount val="1"/>
                <c:pt idx="0">
                  <c:v>2.8991228070175441</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Zbiorczy!$H$13</c:f>
              <c:numCache>
                <c:formatCode>General</c:formatCode>
                <c:ptCount val="1"/>
                <c:pt idx="0">
                  <c:v>2.4539249146757678</c:v>
                </c:pt>
              </c:numCache>
            </c:numRef>
          </c:val>
        </c:ser>
        <c:ser>
          <c:idx val="9"/>
          <c:order val="2"/>
          <c:val>
            <c:numLit>
              <c:formatCode>General</c:formatCode>
              <c:ptCount val="1"/>
              <c:pt idx="0">
                <c:v>0</c:v>
              </c:pt>
            </c:numLit>
          </c:val>
        </c:ser>
        <c:ser>
          <c:idx val="2"/>
          <c:order val="3"/>
          <c:tx>
            <c:v>Wykształcenie wyższe</c:v>
          </c:tx>
          <c:val>
            <c:numRef>
              <c:f>Zbiorczy!$K$13</c:f>
              <c:numCache>
                <c:formatCode>General</c:formatCode>
                <c:ptCount val="1"/>
                <c:pt idx="0">
                  <c:v>3.044776119402985</c:v>
                </c:pt>
              </c:numCache>
            </c:numRef>
          </c:val>
        </c:ser>
        <c:ser>
          <c:idx val="3"/>
          <c:order val="4"/>
          <c:tx>
            <c:v>Wykształcenie średnie i policealne</c:v>
          </c:tx>
          <c:val>
            <c:numRef>
              <c:f>Zbiorczy!$N$13</c:f>
              <c:numCache>
                <c:formatCode>General</c:formatCode>
                <c:ptCount val="1"/>
                <c:pt idx="0">
                  <c:v>2.6315789473684208</c:v>
                </c:pt>
              </c:numCache>
            </c:numRef>
          </c:val>
        </c:ser>
        <c:ser>
          <c:idx val="4"/>
          <c:order val="5"/>
          <c:tx>
            <c:v>Wykształcenie zasadnicze zawodowe i poniżej</c:v>
          </c:tx>
          <c:val>
            <c:numRef>
              <c:f>Zbiorczy!$Q$13</c:f>
              <c:numCache>
                <c:formatCode>General</c:formatCode>
                <c:ptCount val="1"/>
                <c:pt idx="0">
                  <c:v>2.5602836879432624</c:v>
                </c:pt>
              </c:numCache>
            </c:numRef>
          </c:val>
        </c:ser>
        <c:ser>
          <c:idx val="10"/>
          <c:order val="6"/>
          <c:val>
            <c:numLit>
              <c:formatCode>General</c:formatCode>
              <c:ptCount val="1"/>
              <c:pt idx="0">
                <c:v>0</c:v>
              </c:pt>
            </c:numLit>
          </c:val>
        </c:ser>
        <c:ser>
          <c:idx val="5"/>
          <c:order val="7"/>
          <c:tx>
            <c:v>Wiek: 18-29</c:v>
          </c:tx>
          <c:val>
            <c:numRef>
              <c:f>Zbiorczy!$T$13</c:f>
              <c:numCache>
                <c:formatCode>General</c:formatCode>
                <c:ptCount val="1"/>
                <c:pt idx="0">
                  <c:v>3.0204081632653037</c:v>
                </c:pt>
              </c:numCache>
            </c:numRef>
          </c:val>
        </c:ser>
        <c:ser>
          <c:idx val="6"/>
          <c:order val="8"/>
          <c:tx>
            <c:v>Wiek: 30-39</c:v>
          </c:tx>
          <c:val>
            <c:numRef>
              <c:f>Zbiorczy!$W$13</c:f>
              <c:numCache>
                <c:formatCode>General</c:formatCode>
                <c:ptCount val="1"/>
                <c:pt idx="0">
                  <c:v>3.1739130434782608</c:v>
                </c:pt>
              </c:numCache>
            </c:numRef>
          </c:val>
        </c:ser>
        <c:ser>
          <c:idx val="7"/>
          <c:order val="9"/>
          <c:tx>
            <c:v>Wiek: 40-59</c:v>
          </c:tx>
          <c:val>
            <c:numRef>
              <c:f>Zbiorczy!$Z$13</c:f>
              <c:numCache>
                <c:formatCode>General</c:formatCode>
                <c:ptCount val="1"/>
                <c:pt idx="0">
                  <c:v>2.7042253521127066</c:v>
                </c:pt>
              </c:numCache>
            </c:numRef>
          </c:val>
        </c:ser>
        <c:ser>
          <c:idx val="8"/>
          <c:order val="10"/>
          <c:tx>
            <c:v>Wiek: 60 i powyżej</c:v>
          </c:tx>
          <c:val>
            <c:numRef>
              <c:f>Zbiorczy!$AC$13</c:f>
              <c:numCache>
                <c:formatCode>General</c:formatCode>
                <c:ptCount val="1"/>
                <c:pt idx="0">
                  <c:v>1.7931034482758619</c:v>
                </c:pt>
              </c:numCache>
            </c:numRef>
          </c:val>
        </c:ser>
        <c:axId val="188237312"/>
        <c:axId val="188238848"/>
      </c:barChart>
      <c:catAx>
        <c:axId val="188237312"/>
        <c:scaling>
          <c:orientation val="minMax"/>
        </c:scaling>
        <c:delete val="1"/>
        <c:axPos val="b"/>
        <c:tickLblPos val="none"/>
        <c:crossAx val="188238848"/>
        <c:crosses val="autoZero"/>
        <c:auto val="1"/>
        <c:lblAlgn val="ctr"/>
        <c:lblOffset val="100"/>
      </c:catAx>
      <c:valAx>
        <c:axId val="188238848"/>
        <c:scaling>
          <c:orientation val="minMax"/>
        </c:scaling>
        <c:axPos val="l"/>
        <c:numFmt formatCode="General" sourceLinked="1"/>
        <c:tickLblPos val="nextTo"/>
        <c:txPr>
          <a:bodyPr/>
          <a:lstStyle/>
          <a:p>
            <a:pPr>
              <a:defRPr sz="800"/>
            </a:pPr>
            <a:endParaRPr lang="pl-PL"/>
          </a:p>
        </c:txPr>
        <c:crossAx val="18823731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7.7760882939432105E-2"/>
          <c:y val="0.69314913768451014"/>
          <c:w val="0.90070768570371951"/>
          <c:h val="0.27944093826831867"/>
        </c:manualLayout>
      </c:layout>
      <c:txPr>
        <a:bodyPr/>
        <a:lstStyle/>
        <a:p>
          <a:pPr>
            <a:defRPr sz="800"/>
          </a:pPr>
          <a:endParaRPr lang="pl-PL"/>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Zbiorczy!$C$22:$D$22</c:f>
              <c:numCache>
                <c:formatCode>0%</c:formatCode>
                <c:ptCount val="2"/>
                <c:pt idx="0">
                  <c:v>0.19657142857143034</c:v>
                </c:pt>
                <c:pt idx="1">
                  <c:v>0.80342857142857893</c:v>
                </c:pt>
              </c:numCache>
            </c:numRef>
          </c:val>
        </c:ser>
        <c:ser>
          <c:idx val="1"/>
          <c:order val="1"/>
          <c:tx>
            <c:v>Kobiety</c:v>
          </c:tx>
          <c:dLbls>
            <c:txPr>
              <a:bodyPr rot="-5400000" vert="horz"/>
              <a:lstStyle/>
              <a:p>
                <a:pPr>
                  <a:defRPr sz="900"/>
                </a:pPr>
                <a:endParaRPr lang="pl-PL"/>
              </a:p>
            </c:txPr>
            <c:showSerName val="1"/>
          </c:dLbls>
          <c:val>
            <c:numRef>
              <c:f>Zbiorczy!$F$22:$G$22</c:f>
              <c:numCache>
                <c:formatCode>0%</c:formatCode>
                <c:ptCount val="2"/>
                <c:pt idx="0">
                  <c:v>0.16953762466001812</c:v>
                </c:pt>
                <c:pt idx="1">
                  <c:v>0.83046237533998157</c:v>
                </c:pt>
              </c:numCache>
            </c:numRef>
          </c:val>
        </c:ser>
        <c:ser>
          <c:idx val="9"/>
          <c:order val="2"/>
          <c:val>
            <c:numLit>
              <c:formatCode>General</c:formatCode>
              <c:ptCount val="1"/>
              <c:pt idx="0">
                <c:v>0</c:v>
              </c:pt>
            </c:numLit>
          </c:val>
        </c:ser>
        <c:ser>
          <c:idx val="2"/>
          <c:order val="3"/>
          <c:tx>
            <c:v>Wykształcenie wyższe</c:v>
          </c:tx>
          <c:val>
            <c:numRef>
              <c:f>Zbiorczy!$I$22:$J$22</c:f>
              <c:numCache>
                <c:formatCode>0%</c:formatCode>
                <c:ptCount val="2"/>
                <c:pt idx="0">
                  <c:v>0.39350180505415727</c:v>
                </c:pt>
                <c:pt idx="1">
                  <c:v>0.60649819494584833</c:v>
                </c:pt>
              </c:numCache>
            </c:numRef>
          </c:val>
        </c:ser>
        <c:ser>
          <c:idx val="3"/>
          <c:order val="4"/>
          <c:tx>
            <c:v>Wykształcenie średnie i policealne</c:v>
          </c:tx>
          <c:val>
            <c:numRef>
              <c:f>Zbiorczy!$L$22:$M$22</c:f>
              <c:numCache>
                <c:formatCode>0%</c:formatCode>
                <c:ptCount val="2"/>
                <c:pt idx="0">
                  <c:v>0.18849840255591449</c:v>
                </c:pt>
                <c:pt idx="1">
                  <c:v>0.81150159744409611</c:v>
                </c:pt>
              </c:numCache>
            </c:numRef>
          </c:val>
        </c:ser>
        <c:ser>
          <c:idx val="4"/>
          <c:order val="5"/>
          <c:tx>
            <c:v>Wykształcenie zasadnicze zawodowe i poniżej</c:v>
          </c:tx>
          <c:val>
            <c:numRef>
              <c:f>Zbiorczy!$O$22:$P$22</c:f>
              <c:numCache>
                <c:formatCode>0%</c:formatCode>
                <c:ptCount val="2"/>
                <c:pt idx="0">
                  <c:v>0.11951447245565039</c:v>
                </c:pt>
                <c:pt idx="1">
                  <c:v>0.8804855275443505</c:v>
                </c:pt>
              </c:numCache>
            </c:numRef>
          </c:val>
        </c:ser>
        <c:ser>
          <c:idx val="10"/>
          <c:order val="6"/>
          <c:val>
            <c:numLit>
              <c:formatCode>General</c:formatCode>
              <c:ptCount val="1"/>
              <c:pt idx="0">
                <c:v>0</c:v>
              </c:pt>
            </c:numLit>
          </c:val>
        </c:ser>
        <c:ser>
          <c:idx val="5"/>
          <c:order val="7"/>
          <c:tx>
            <c:v>Wiek: 18-29</c:v>
          </c:tx>
          <c:val>
            <c:numRef>
              <c:f>Zbiorczy!$R$22:$S$22</c:f>
              <c:numCache>
                <c:formatCode>0%</c:formatCode>
                <c:ptCount val="2"/>
                <c:pt idx="0">
                  <c:v>0.18705035971223288</c:v>
                </c:pt>
                <c:pt idx="1">
                  <c:v>0.81294964028776984</c:v>
                </c:pt>
              </c:numCache>
            </c:numRef>
          </c:val>
        </c:ser>
        <c:ser>
          <c:idx val="6"/>
          <c:order val="8"/>
          <c:tx>
            <c:v>Wiek: 30-39</c:v>
          </c:tx>
          <c:val>
            <c:numRef>
              <c:f>Zbiorczy!$U$22:$V$22</c:f>
              <c:numCache>
                <c:formatCode>0%</c:formatCode>
                <c:ptCount val="2"/>
                <c:pt idx="0">
                  <c:v>0.23907455012853468</c:v>
                </c:pt>
                <c:pt idx="1">
                  <c:v>0.7609254498714656</c:v>
                </c:pt>
              </c:numCache>
            </c:numRef>
          </c:val>
        </c:ser>
        <c:ser>
          <c:idx val="7"/>
          <c:order val="9"/>
          <c:tx>
            <c:v>Wiek: 40-59</c:v>
          </c:tx>
          <c:val>
            <c:numRef>
              <c:f>Zbiorczy!$X$22:$Y$22</c:f>
              <c:numCache>
                <c:formatCode>0%</c:formatCode>
                <c:ptCount val="2"/>
                <c:pt idx="0">
                  <c:v>0.1655328798185941</c:v>
                </c:pt>
                <c:pt idx="1">
                  <c:v>0.83446712018140556</c:v>
                </c:pt>
              </c:numCache>
            </c:numRef>
          </c:val>
        </c:ser>
        <c:ser>
          <c:idx val="8"/>
          <c:order val="10"/>
          <c:tx>
            <c:v>Wiek: 60 i powyżej</c:v>
          </c:tx>
          <c:val>
            <c:numRef>
              <c:f>Zbiorczy!$AA$22:$AB$22</c:f>
              <c:numCache>
                <c:formatCode>0%</c:formatCode>
                <c:ptCount val="2"/>
                <c:pt idx="0">
                  <c:v>0.13380281690140838</c:v>
                </c:pt>
                <c:pt idx="1">
                  <c:v>0.86619718309860005</c:v>
                </c:pt>
              </c:numCache>
            </c:numRef>
          </c:val>
        </c:ser>
        <c:gapWidth val="136"/>
        <c:overlap val="-15"/>
        <c:axId val="188330752"/>
        <c:axId val="188332288"/>
      </c:barChart>
      <c:catAx>
        <c:axId val="188330752"/>
        <c:scaling>
          <c:orientation val="minMax"/>
        </c:scaling>
        <c:axPos val="b"/>
        <c:majorGridlines/>
        <c:tickLblPos val="nextTo"/>
        <c:crossAx val="188332288"/>
        <c:crosses val="autoZero"/>
        <c:auto val="1"/>
        <c:lblAlgn val="ctr"/>
        <c:lblOffset val="100"/>
      </c:catAx>
      <c:valAx>
        <c:axId val="188332288"/>
        <c:scaling>
          <c:orientation val="minMax"/>
        </c:scaling>
        <c:axPos val="l"/>
        <c:numFmt formatCode="0%" sourceLinked="1"/>
        <c:tickLblPos val="nextTo"/>
        <c:txPr>
          <a:bodyPr/>
          <a:lstStyle/>
          <a:p>
            <a:pPr>
              <a:defRPr sz="800"/>
            </a:pPr>
            <a:endParaRPr lang="pl-PL"/>
          </a:p>
        </c:txPr>
        <c:crossAx val="18833075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9.8617101444628E-2"/>
          <c:y val="0.71696432333719662"/>
          <c:w val="0.88676185284356079"/>
          <c:h val="0.25775308061133395"/>
        </c:manualLayout>
      </c:layout>
      <c:txPr>
        <a:bodyPr/>
        <a:lstStyle/>
        <a:p>
          <a:pPr>
            <a:defRPr sz="800"/>
          </a:pPr>
          <a:endParaRPr lang="pl-PL"/>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Zbiorczy!$E$22</c:f>
              <c:numCache>
                <c:formatCode>General</c:formatCode>
                <c:ptCount val="1"/>
                <c:pt idx="0">
                  <c:v>3.1702127659574719</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Zbiorczy!$H$22</c:f>
              <c:numCache>
                <c:formatCode>General</c:formatCode>
                <c:ptCount val="1"/>
                <c:pt idx="0">
                  <c:v>3.2636986301369872</c:v>
                </c:pt>
              </c:numCache>
            </c:numRef>
          </c:val>
        </c:ser>
        <c:ser>
          <c:idx val="9"/>
          <c:order val="2"/>
          <c:val>
            <c:numLit>
              <c:formatCode>General</c:formatCode>
              <c:ptCount val="1"/>
              <c:pt idx="0">
                <c:v>0</c:v>
              </c:pt>
            </c:numLit>
          </c:val>
        </c:ser>
        <c:ser>
          <c:idx val="2"/>
          <c:order val="3"/>
          <c:tx>
            <c:v>Wykształcenie wyższe</c:v>
          </c:tx>
          <c:val>
            <c:numRef>
              <c:f>Zbiorczy!$K$22</c:f>
              <c:numCache>
                <c:formatCode>General</c:formatCode>
                <c:ptCount val="1"/>
                <c:pt idx="0">
                  <c:v>3.5074626865671643</c:v>
                </c:pt>
              </c:numCache>
            </c:numRef>
          </c:val>
        </c:ser>
        <c:ser>
          <c:idx val="3"/>
          <c:order val="4"/>
          <c:tx>
            <c:v>Wykształcenie średnie i policealne</c:v>
          </c:tx>
          <c:val>
            <c:numRef>
              <c:f>Zbiorczy!$N$22</c:f>
              <c:numCache>
                <c:formatCode>General</c:formatCode>
                <c:ptCount val="1"/>
                <c:pt idx="0">
                  <c:v>3.0919540229885047</c:v>
                </c:pt>
              </c:numCache>
            </c:numRef>
          </c:val>
        </c:ser>
        <c:ser>
          <c:idx val="4"/>
          <c:order val="5"/>
          <c:tx>
            <c:v>Wykształcenie zasadnicze zawodowe i poniżej</c:v>
          </c:tx>
          <c:val>
            <c:numRef>
              <c:f>Zbiorczy!$Q$22</c:f>
              <c:numCache>
                <c:formatCode>General</c:formatCode>
                <c:ptCount val="1"/>
                <c:pt idx="0">
                  <c:v>3.2315789473684209</c:v>
                </c:pt>
              </c:numCache>
            </c:numRef>
          </c:val>
        </c:ser>
        <c:ser>
          <c:idx val="10"/>
          <c:order val="6"/>
          <c:val>
            <c:numLit>
              <c:formatCode>General</c:formatCode>
              <c:ptCount val="1"/>
              <c:pt idx="0">
                <c:v>0</c:v>
              </c:pt>
            </c:numLit>
          </c:val>
        </c:ser>
        <c:ser>
          <c:idx val="5"/>
          <c:order val="7"/>
          <c:tx>
            <c:v>Wiek: 18-29</c:v>
          </c:tx>
          <c:val>
            <c:numRef>
              <c:f>Zbiorczy!$T$22</c:f>
              <c:numCache>
                <c:formatCode>General</c:formatCode>
                <c:ptCount val="1"/>
                <c:pt idx="0">
                  <c:v>3.4699999999999998</c:v>
                </c:pt>
              </c:numCache>
            </c:numRef>
          </c:val>
        </c:ser>
        <c:ser>
          <c:idx val="6"/>
          <c:order val="8"/>
          <c:tx>
            <c:v>Wiek: 30-39</c:v>
          </c:tx>
          <c:val>
            <c:numRef>
              <c:f>Zbiorczy!$W$22</c:f>
              <c:numCache>
                <c:formatCode>General</c:formatCode>
                <c:ptCount val="1"/>
                <c:pt idx="0">
                  <c:v>3.4842105263157888</c:v>
                </c:pt>
              </c:numCache>
            </c:numRef>
          </c:val>
        </c:ser>
        <c:ser>
          <c:idx val="7"/>
          <c:order val="9"/>
          <c:tx>
            <c:v>Wiek: 40-59</c:v>
          </c:tx>
          <c:val>
            <c:numRef>
              <c:f>Zbiorczy!$Z$22</c:f>
              <c:numCache>
                <c:formatCode>General</c:formatCode>
                <c:ptCount val="1"/>
                <c:pt idx="0">
                  <c:v>3.4859813084112212</c:v>
                </c:pt>
              </c:numCache>
            </c:numRef>
          </c:val>
        </c:ser>
        <c:ser>
          <c:idx val="8"/>
          <c:order val="10"/>
          <c:tx>
            <c:v>Wiek: 60 i powyżej</c:v>
          </c:tx>
          <c:val>
            <c:numRef>
              <c:f>Zbiorczy!$AC$22</c:f>
              <c:numCache>
                <c:formatCode>General</c:formatCode>
                <c:ptCount val="1"/>
                <c:pt idx="0">
                  <c:v>2.3103448275862069</c:v>
                </c:pt>
              </c:numCache>
            </c:numRef>
          </c:val>
        </c:ser>
        <c:axId val="188411904"/>
        <c:axId val="188413440"/>
      </c:barChart>
      <c:catAx>
        <c:axId val="188411904"/>
        <c:scaling>
          <c:orientation val="minMax"/>
        </c:scaling>
        <c:delete val="1"/>
        <c:axPos val="b"/>
        <c:tickLblPos val="none"/>
        <c:crossAx val="188413440"/>
        <c:crosses val="autoZero"/>
        <c:auto val="1"/>
        <c:lblAlgn val="ctr"/>
        <c:lblOffset val="100"/>
      </c:catAx>
      <c:valAx>
        <c:axId val="188413440"/>
        <c:scaling>
          <c:orientation val="minMax"/>
        </c:scaling>
        <c:axPos val="l"/>
        <c:numFmt formatCode="General" sourceLinked="1"/>
        <c:tickLblPos val="nextTo"/>
        <c:txPr>
          <a:bodyPr/>
          <a:lstStyle/>
          <a:p>
            <a:pPr>
              <a:defRPr sz="800"/>
            </a:pPr>
            <a:endParaRPr lang="pl-PL"/>
          </a:p>
        </c:txPr>
        <c:crossAx val="188411904"/>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txPr>
        <a:bodyPr/>
        <a:lstStyle/>
        <a:p>
          <a:pPr>
            <a:defRPr sz="800"/>
          </a:pPr>
          <a:endParaRPr lang="pl-PL"/>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9.6163724616293605E-2"/>
          <c:y val="4.0725386703065296E-2"/>
          <c:w val="0.86780437027132262"/>
          <c:h val="0.85852749429744901"/>
        </c:manualLayout>
      </c:layout>
      <c:barChart>
        <c:barDir val="bar"/>
        <c:grouping val="clustered"/>
        <c:ser>
          <c:idx val="0"/>
          <c:order val="0"/>
          <c:tx>
            <c:strRef>
              <c:f>'Dane wg podgr. cech'!$C$17</c:f>
              <c:strCache>
                <c:ptCount val="1"/>
                <c:pt idx="0">
                  <c:v>mężczyźni</c:v>
                </c:pt>
              </c:strCache>
            </c:strRef>
          </c:tx>
          <c:cat>
            <c:strRef>
              <c:f>'Dane wg podgr. cech'!$B$18:$B$35</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&gt;85</c:v>
                </c:pt>
              </c:strCache>
            </c:strRef>
          </c:cat>
          <c:val>
            <c:numRef>
              <c:f>'Dane wg podgr. cech'!$I$18:$I$35</c:f>
              <c:numCache>
                <c:formatCode>0.00</c:formatCode>
                <c:ptCount val="18"/>
                <c:pt idx="0">
                  <c:v>2.4959319063712604</c:v>
                </c:pt>
                <c:pt idx="1">
                  <c:v>2.3282012767555402</c:v>
                </c:pt>
                <c:pt idx="2">
                  <c:v>2.5009387908374445</c:v>
                </c:pt>
                <c:pt idx="3">
                  <c:v>2.9140067592940277</c:v>
                </c:pt>
                <c:pt idx="4">
                  <c:v>3.8227562898985967</c:v>
                </c:pt>
                <c:pt idx="5">
                  <c:v>4.5737889598197485</c:v>
                </c:pt>
                <c:pt idx="6">
                  <c:v>4.0405557641757355</c:v>
                </c:pt>
                <c:pt idx="7">
                  <c:v>3.1242959068719491</c:v>
                </c:pt>
                <c:pt idx="8">
                  <c:v>2.5710351733633727</c:v>
                </c:pt>
                <c:pt idx="9">
                  <c:v>3.0592064088121171</c:v>
                </c:pt>
                <c:pt idx="10">
                  <c:v>3.9779697083489802</c:v>
                </c:pt>
                <c:pt idx="11">
                  <c:v>3.8452872699962448</c:v>
                </c:pt>
                <c:pt idx="12">
                  <c:v>3.0291651020152708</c:v>
                </c:pt>
                <c:pt idx="13">
                  <c:v>1.4570033796470139</c:v>
                </c:pt>
                <c:pt idx="14">
                  <c:v>1.4469896107147318</c:v>
                </c:pt>
                <c:pt idx="15">
                  <c:v>1.0739767179872168</c:v>
                </c:pt>
                <c:pt idx="16">
                  <c:v>0.60082613593691259</c:v>
                </c:pt>
                <c:pt idx="17">
                  <c:v>0.29790962573538632</c:v>
                </c:pt>
              </c:numCache>
            </c:numRef>
          </c:val>
        </c:ser>
        <c:ser>
          <c:idx val="1"/>
          <c:order val="1"/>
          <c:tx>
            <c:strRef>
              <c:f>'Dane wg podgr. cech'!$D$17</c:f>
              <c:strCache>
                <c:ptCount val="1"/>
                <c:pt idx="0">
                  <c:v>kobiety</c:v>
                </c:pt>
              </c:strCache>
            </c:strRef>
          </c:tx>
          <c:cat>
            <c:strRef>
              <c:f>'Dane wg podgr. cech'!$B$18:$B$35</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&gt;85</c:v>
                </c:pt>
              </c:strCache>
            </c:strRef>
          </c:cat>
          <c:val>
            <c:numRef>
              <c:f>'Dane wg podgr. cech'!$J$18:$J$35</c:f>
              <c:numCache>
                <c:formatCode>0.00</c:formatCode>
                <c:ptCount val="18"/>
                <c:pt idx="0">
                  <c:v>2.5885592689948682</c:v>
                </c:pt>
                <c:pt idx="1">
                  <c:v>2.1254224558768309</c:v>
                </c:pt>
                <c:pt idx="2">
                  <c:v>2.503442233070472</c:v>
                </c:pt>
                <c:pt idx="3">
                  <c:v>2.9390411816246962</c:v>
                </c:pt>
                <c:pt idx="4">
                  <c:v>3.6249843534860791</c:v>
                </c:pt>
                <c:pt idx="5">
                  <c:v>4.4135686569032417</c:v>
                </c:pt>
                <c:pt idx="6">
                  <c:v>3.9804731505820512</c:v>
                </c:pt>
                <c:pt idx="7">
                  <c:v>2.9740893728877205</c:v>
                </c:pt>
                <c:pt idx="8">
                  <c:v>2.7012141694830389</c:v>
                </c:pt>
                <c:pt idx="9">
                  <c:v>3.3596194767805727</c:v>
                </c:pt>
                <c:pt idx="10">
                  <c:v>4.7064713981724884</c:v>
                </c:pt>
                <c:pt idx="11">
                  <c:v>4.6889473025409885</c:v>
                </c:pt>
                <c:pt idx="12">
                  <c:v>3.5373638753285772</c:v>
                </c:pt>
                <c:pt idx="13">
                  <c:v>2.0202778820878802</c:v>
                </c:pt>
                <c:pt idx="14">
                  <c:v>2.2631117786957935</c:v>
                </c:pt>
                <c:pt idx="15">
                  <c:v>2.0403054199524346</c:v>
                </c:pt>
                <c:pt idx="16">
                  <c:v>1.4895481286769321</c:v>
                </c:pt>
                <c:pt idx="17">
                  <c:v>0.883715108273885</c:v>
                </c:pt>
              </c:numCache>
            </c:numRef>
          </c:val>
        </c:ser>
        <c:axId val="129995520"/>
        <c:axId val="129997440"/>
      </c:barChart>
      <c:catAx>
        <c:axId val="129995520"/>
        <c:scaling>
          <c:orientation val="minMax"/>
        </c:scaling>
        <c:axPos val="l"/>
        <c:title>
          <c:tx>
            <c:rich>
              <a:bodyPr rot="0" vert="horz"/>
              <a:lstStyle/>
              <a:p>
                <a:pPr algn="ctr">
                  <a:defRPr sz="900" b="0" i="0" u="none" strike="noStrike" baseline="0">
                    <a:solidFill>
                      <a:srgbClr val="000000"/>
                    </a:solidFill>
                    <a:latin typeface="Calibri"/>
                    <a:ea typeface="Calibri"/>
                    <a:cs typeface="Calibri"/>
                  </a:defRPr>
                </a:pPr>
                <a:r>
                  <a:rPr lang="pl-PL" sz="900"/>
                  <a:t>wiek</a:t>
                </a:r>
              </a:p>
            </c:rich>
          </c:tx>
          <c:layout>
            <c:manualLayout>
              <c:xMode val="edge"/>
              <c:yMode val="edge"/>
              <c:x val="3.374867989042566E-2"/>
              <c:y val="6.3653589957384128E-5"/>
            </c:manualLayout>
          </c:layout>
        </c:title>
        <c:numFmt formatCode="General" sourceLinked="1"/>
        <c:majorTickMark val="none"/>
        <c:tickLblPos val="nextTo"/>
        <c:txPr>
          <a:bodyPr/>
          <a:lstStyle/>
          <a:p>
            <a:pPr>
              <a:defRPr sz="900"/>
            </a:pPr>
            <a:endParaRPr lang="pl-PL"/>
          </a:p>
        </c:txPr>
        <c:crossAx val="129997440"/>
        <c:crosses val="autoZero"/>
        <c:auto val="1"/>
        <c:lblAlgn val="ctr"/>
        <c:lblOffset val="100"/>
      </c:catAx>
      <c:valAx>
        <c:axId val="129997440"/>
        <c:scaling>
          <c:orientation val="minMax"/>
        </c:scaling>
        <c:axPos val="b"/>
        <c:majorGridlines/>
        <c:minorGridlines/>
        <c:title>
          <c:tx>
            <c:rich>
              <a:bodyPr/>
              <a:lstStyle/>
              <a:p>
                <a:pPr>
                  <a:defRPr sz="1000" b="1" i="0" u="none" strike="noStrike" baseline="0">
                    <a:solidFill>
                      <a:srgbClr val="000000"/>
                    </a:solidFill>
                    <a:latin typeface="Calibri"/>
                    <a:ea typeface="Calibri"/>
                    <a:cs typeface="Calibri"/>
                  </a:defRPr>
                </a:pPr>
                <a:r>
                  <a:rPr lang="pl-PL"/>
                  <a:t>%</a:t>
                </a:r>
              </a:p>
            </c:rich>
          </c:tx>
          <c:layout>
            <c:manualLayout>
              <c:xMode val="edge"/>
              <c:yMode val="edge"/>
              <c:x val="0.90835459386151296"/>
              <c:y val="0.9414206820722365"/>
            </c:manualLayout>
          </c:layout>
        </c:title>
        <c:numFmt formatCode="0.0" sourceLinked="0"/>
        <c:tickLblPos val="nextTo"/>
        <c:txPr>
          <a:bodyPr/>
          <a:lstStyle/>
          <a:p>
            <a:pPr>
              <a:defRPr sz="900"/>
            </a:pPr>
            <a:endParaRPr lang="pl-PL"/>
          </a:p>
        </c:txPr>
        <c:crossAx val="129995520"/>
        <c:crosses val="autoZero"/>
        <c:crossBetween val="between"/>
        <c:minorUnit val="0.5"/>
      </c:valAx>
    </c:plotArea>
    <c:legend>
      <c:legendPos val="r"/>
      <c:layout>
        <c:manualLayout>
          <c:xMode val="edge"/>
          <c:yMode val="edge"/>
          <c:x val="0.81332076890753457"/>
          <c:y val="0.16269779710442644"/>
          <c:w val="0.12359340124795565"/>
          <c:h val="0.11584133530443476"/>
        </c:manualLayout>
      </c:layout>
      <c:spPr>
        <a:solidFill>
          <a:schemeClr val="bg1"/>
        </a:solidFill>
      </c:spPr>
      <c:txPr>
        <a:bodyPr/>
        <a:lstStyle/>
        <a:p>
          <a:pPr>
            <a:defRPr sz="900"/>
          </a:pPr>
          <a:endParaRPr lang="pl-PL"/>
        </a:p>
      </c:txPr>
    </c:legend>
    <c:plotVisOnly val="1"/>
    <c:dispBlanksAs val="gap"/>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Zbiorczy!$C$10:$D$10</c:f>
              <c:numCache>
                <c:formatCode>0%</c:formatCode>
                <c:ptCount val="2"/>
                <c:pt idx="0">
                  <c:v>9.3444909344492691E-2</c:v>
                </c:pt>
                <c:pt idx="1">
                  <c:v>0.90655509065550965</c:v>
                </c:pt>
              </c:numCache>
            </c:numRef>
          </c:val>
        </c:ser>
        <c:ser>
          <c:idx val="1"/>
          <c:order val="1"/>
          <c:tx>
            <c:v>Kobiety</c:v>
          </c:tx>
          <c:dLbls>
            <c:txPr>
              <a:bodyPr rot="-5400000" vert="horz"/>
              <a:lstStyle/>
              <a:p>
                <a:pPr>
                  <a:defRPr sz="900"/>
                </a:pPr>
                <a:endParaRPr lang="pl-PL"/>
              </a:p>
            </c:txPr>
            <c:showSerName val="1"/>
          </c:dLbls>
          <c:val>
            <c:numRef>
              <c:f>Zbiorczy!$F$10:$G$10</c:f>
              <c:numCache>
                <c:formatCode>0%</c:formatCode>
                <c:ptCount val="2"/>
                <c:pt idx="0">
                  <c:v>8.2914572864321606E-2</c:v>
                </c:pt>
                <c:pt idx="1">
                  <c:v>0.91708542713567864</c:v>
                </c:pt>
              </c:numCache>
            </c:numRef>
          </c:val>
        </c:ser>
        <c:ser>
          <c:idx val="9"/>
          <c:order val="2"/>
          <c:val>
            <c:numLit>
              <c:formatCode>General</c:formatCode>
              <c:ptCount val="1"/>
              <c:pt idx="0">
                <c:v>0</c:v>
              </c:pt>
            </c:numLit>
          </c:val>
        </c:ser>
        <c:ser>
          <c:idx val="2"/>
          <c:order val="3"/>
          <c:tx>
            <c:v>Wykształcenie wyższe</c:v>
          </c:tx>
          <c:val>
            <c:numRef>
              <c:f>Zbiorczy!$I$10:$J$10</c:f>
              <c:numCache>
                <c:formatCode>0%</c:formatCode>
                <c:ptCount val="2"/>
                <c:pt idx="0">
                  <c:v>0.19130434782608696</c:v>
                </c:pt>
                <c:pt idx="1">
                  <c:v>0.80869565217392692</c:v>
                </c:pt>
              </c:numCache>
            </c:numRef>
          </c:val>
        </c:ser>
        <c:ser>
          <c:idx val="3"/>
          <c:order val="4"/>
          <c:tx>
            <c:v>Wykształcenie średnie i policealne</c:v>
          </c:tx>
          <c:val>
            <c:numRef>
              <c:f>Zbiorczy!$L$10:$M$10</c:f>
              <c:numCache>
                <c:formatCode>0%</c:formatCode>
                <c:ptCount val="2"/>
                <c:pt idx="0">
                  <c:v>6.2611806797853289E-2</c:v>
                </c:pt>
                <c:pt idx="1">
                  <c:v>0.9373881932021465</c:v>
                </c:pt>
              </c:numCache>
            </c:numRef>
          </c:val>
        </c:ser>
        <c:ser>
          <c:idx val="4"/>
          <c:order val="5"/>
          <c:tx>
            <c:v>Wykształcenie zasadnicze zawodowe i poniżej</c:v>
          </c:tx>
          <c:val>
            <c:numRef>
              <c:f>Zbiorczy!$O$10:$P$10</c:f>
              <c:numCache>
                <c:formatCode>0%</c:formatCode>
                <c:ptCount val="2"/>
                <c:pt idx="0">
                  <c:v>7.5104311543810864E-2</c:v>
                </c:pt>
                <c:pt idx="1">
                  <c:v>0.92489568845619885</c:v>
                </c:pt>
              </c:numCache>
            </c:numRef>
          </c:val>
        </c:ser>
        <c:ser>
          <c:idx val="10"/>
          <c:order val="6"/>
          <c:val>
            <c:numLit>
              <c:formatCode>General</c:formatCode>
              <c:ptCount val="1"/>
              <c:pt idx="0">
                <c:v>0</c:v>
              </c:pt>
            </c:numLit>
          </c:val>
        </c:ser>
        <c:ser>
          <c:idx val="5"/>
          <c:order val="7"/>
          <c:tx>
            <c:v>Wiek: 18-29</c:v>
          </c:tx>
          <c:val>
            <c:numRef>
              <c:f>Zbiorczy!$R$10:$S$10</c:f>
              <c:numCache>
                <c:formatCode>0%</c:formatCode>
                <c:ptCount val="2"/>
                <c:pt idx="0">
                  <c:v>6.7796610169492663E-2</c:v>
                </c:pt>
                <c:pt idx="1">
                  <c:v>0.93220338983050233</c:v>
                </c:pt>
              </c:numCache>
            </c:numRef>
          </c:val>
        </c:ser>
        <c:ser>
          <c:idx val="6"/>
          <c:order val="8"/>
          <c:tx>
            <c:v>Wiek: 30-39</c:v>
          </c:tx>
          <c:val>
            <c:numRef>
              <c:f>Zbiorczy!$U$10:$V$10</c:f>
              <c:numCache>
                <c:formatCode>0%</c:formatCode>
                <c:ptCount val="2"/>
                <c:pt idx="0">
                  <c:v>0.12244897959183668</c:v>
                </c:pt>
                <c:pt idx="1">
                  <c:v>0.87755102040817023</c:v>
                </c:pt>
              </c:numCache>
            </c:numRef>
          </c:val>
        </c:ser>
        <c:ser>
          <c:idx val="7"/>
          <c:order val="9"/>
          <c:tx>
            <c:v>Wiek: 40-59</c:v>
          </c:tx>
          <c:val>
            <c:numRef>
              <c:f>Zbiorczy!$X$10:$Y$10</c:f>
              <c:numCache>
                <c:formatCode>0%</c:formatCode>
                <c:ptCount val="2"/>
                <c:pt idx="0">
                  <c:v>4.192546583850932E-2</c:v>
                </c:pt>
                <c:pt idx="1">
                  <c:v>0.95807453416149746</c:v>
                </c:pt>
              </c:numCache>
            </c:numRef>
          </c:val>
        </c:ser>
        <c:ser>
          <c:idx val="8"/>
          <c:order val="10"/>
          <c:tx>
            <c:v>Wiek: 60 i powyżej</c:v>
          </c:tx>
          <c:val>
            <c:numRef>
              <c:f>Zbiorczy!$AA$10:$AB$10</c:f>
              <c:numCache>
                <c:formatCode>0%</c:formatCode>
                <c:ptCount val="2"/>
                <c:pt idx="0">
                  <c:v>0.22085889570552147</c:v>
                </c:pt>
                <c:pt idx="1">
                  <c:v>0.77914110429449235</c:v>
                </c:pt>
              </c:numCache>
            </c:numRef>
          </c:val>
        </c:ser>
        <c:gapWidth val="136"/>
        <c:overlap val="-15"/>
        <c:axId val="188750848"/>
        <c:axId val="188760832"/>
      </c:barChart>
      <c:catAx>
        <c:axId val="188750848"/>
        <c:scaling>
          <c:orientation val="minMax"/>
        </c:scaling>
        <c:axPos val="b"/>
        <c:majorGridlines/>
        <c:tickLblPos val="nextTo"/>
        <c:crossAx val="188760832"/>
        <c:crosses val="autoZero"/>
        <c:auto val="1"/>
        <c:lblAlgn val="ctr"/>
        <c:lblOffset val="100"/>
      </c:catAx>
      <c:valAx>
        <c:axId val="188760832"/>
        <c:scaling>
          <c:orientation val="minMax"/>
          <c:max val="1"/>
        </c:scaling>
        <c:axPos val="l"/>
        <c:numFmt formatCode="0%" sourceLinked="1"/>
        <c:tickLblPos val="nextTo"/>
        <c:txPr>
          <a:bodyPr/>
          <a:lstStyle/>
          <a:p>
            <a:pPr>
              <a:defRPr sz="800"/>
            </a:pPr>
            <a:endParaRPr lang="pl-PL"/>
          </a:p>
        </c:txPr>
        <c:crossAx val="188750848"/>
        <c:crosses val="autoZero"/>
        <c:crossBetween val="between"/>
        <c:majorUnit val="0.1"/>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5111557664021786E-2"/>
          <c:y val="0.71991789117428662"/>
          <c:w val="0.90607528329638964"/>
          <c:h val="0.25506334475265896"/>
        </c:manualLayout>
      </c:layout>
      <c:txPr>
        <a:bodyPr/>
        <a:lstStyle/>
        <a:p>
          <a:pPr>
            <a:defRPr sz="800"/>
          </a:pPr>
          <a:endParaRPr lang="pl-PL"/>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Zbiorczy!$E$10</c:f>
              <c:numCache>
                <c:formatCode>General</c:formatCode>
                <c:ptCount val="1"/>
                <c:pt idx="0">
                  <c:v>3.0692640692640687</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Zbiorczy!$H$10</c:f>
              <c:numCache>
                <c:formatCode>General</c:formatCode>
                <c:ptCount val="1"/>
                <c:pt idx="0">
                  <c:v>2.6552901023890785</c:v>
                </c:pt>
              </c:numCache>
            </c:numRef>
          </c:val>
        </c:ser>
        <c:ser>
          <c:idx val="9"/>
          <c:order val="2"/>
          <c:val>
            <c:numLit>
              <c:formatCode>General</c:formatCode>
              <c:ptCount val="1"/>
              <c:pt idx="0">
                <c:v>0</c:v>
              </c:pt>
            </c:numLit>
          </c:val>
        </c:ser>
        <c:ser>
          <c:idx val="2"/>
          <c:order val="3"/>
          <c:tx>
            <c:v>Wykształcenie wyższe</c:v>
          </c:tx>
          <c:val>
            <c:numRef>
              <c:f>Zbiorczy!$K$10</c:f>
              <c:numCache>
                <c:formatCode>General</c:formatCode>
                <c:ptCount val="1"/>
                <c:pt idx="0">
                  <c:v>3.1194029850745921</c:v>
                </c:pt>
              </c:numCache>
            </c:numRef>
          </c:val>
        </c:ser>
        <c:ser>
          <c:idx val="3"/>
          <c:order val="4"/>
          <c:tx>
            <c:v>Wykształcenie średnie i policealne</c:v>
          </c:tx>
          <c:val>
            <c:numRef>
              <c:f>Zbiorczy!$N$10</c:f>
              <c:numCache>
                <c:formatCode>General</c:formatCode>
                <c:ptCount val="1"/>
                <c:pt idx="0">
                  <c:v>3.0578034682080926</c:v>
                </c:pt>
              </c:numCache>
            </c:numRef>
          </c:val>
        </c:ser>
        <c:ser>
          <c:idx val="4"/>
          <c:order val="5"/>
          <c:tx>
            <c:v>Wykształcenie zasadnicze zawodowe i poniżej</c:v>
          </c:tx>
          <c:val>
            <c:numRef>
              <c:f>Zbiorczy!$Q$10</c:f>
              <c:numCache>
                <c:formatCode>General</c:formatCode>
                <c:ptCount val="1"/>
                <c:pt idx="0">
                  <c:v>2.6289752650176692</c:v>
                </c:pt>
              </c:numCache>
            </c:numRef>
          </c:val>
        </c:ser>
        <c:ser>
          <c:idx val="10"/>
          <c:order val="6"/>
          <c:val>
            <c:numLit>
              <c:formatCode>General</c:formatCode>
              <c:ptCount val="1"/>
              <c:pt idx="0">
                <c:v>0</c:v>
              </c:pt>
            </c:numLit>
          </c:val>
        </c:ser>
        <c:ser>
          <c:idx val="5"/>
          <c:order val="7"/>
          <c:tx>
            <c:v>Wiek: 18-29</c:v>
          </c:tx>
          <c:val>
            <c:numRef>
              <c:f>Zbiorczy!$T$10</c:f>
              <c:numCache>
                <c:formatCode>General</c:formatCode>
                <c:ptCount val="1"/>
                <c:pt idx="0">
                  <c:v>3.2346938775510212</c:v>
                </c:pt>
              </c:numCache>
            </c:numRef>
          </c:val>
        </c:ser>
        <c:ser>
          <c:idx val="6"/>
          <c:order val="8"/>
          <c:tx>
            <c:v>Wiek: 30-39</c:v>
          </c:tx>
          <c:val>
            <c:numRef>
              <c:f>Zbiorczy!$W$10</c:f>
              <c:numCache>
                <c:formatCode>General</c:formatCode>
                <c:ptCount val="1"/>
                <c:pt idx="0">
                  <c:v>3.3368421052630848</c:v>
                </c:pt>
              </c:numCache>
            </c:numRef>
          </c:val>
        </c:ser>
        <c:ser>
          <c:idx val="7"/>
          <c:order val="9"/>
          <c:tx>
            <c:v>Wiek: 40-59</c:v>
          </c:tx>
          <c:val>
            <c:numRef>
              <c:f>Zbiorczy!$Z$10</c:f>
              <c:numCache>
                <c:formatCode>General</c:formatCode>
                <c:ptCount val="1"/>
                <c:pt idx="0">
                  <c:v>2.9342723004694777</c:v>
                </c:pt>
              </c:numCache>
            </c:numRef>
          </c:val>
        </c:ser>
        <c:ser>
          <c:idx val="8"/>
          <c:order val="10"/>
          <c:tx>
            <c:v>Wiek: 60 i powyżej</c:v>
          </c:tx>
          <c:val>
            <c:numRef>
              <c:f>Zbiorczy!$AC$10</c:f>
              <c:numCache>
                <c:formatCode>General</c:formatCode>
                <c:ptCount val="1"/>
                <c:pt idx="0">
                  <c:v>1.8879310344827587</c:v>
                </c:pt>
              </c:numCache>
            </c:numRef>
          </c:val>
        </c:ser>
        <c:axId val="189397248"/>
        <c:axId val="192028672"/>
      </c:barChart>
      <c:catAx>
        <c:axId val="189397248"/>
        <c:scaling>
          <c:orientation val="minMax"/>
        </c:scaling>
        <c:delete val="1"/>
        <c:axPos val="b"/>
        <c:tickLblPos val="none"/>
        <c:crossAx val="192028672"/>
        <c:crosses val="autoZero"/>
        <c:auto val="1"/>
        <c:lblAlgn val="ctr"/>
        <c:lblOffset val="100"/>
      </c:catAx>
      <c:valAx>
        <c:axId val="192028672"/>
        <c:scaling>
          <c:orientation val="minMax"/>
        </c:scaling>
        <c:axPos val="l"/>
        <c:numFmt formatCode="General" sourceLinked="1"/>
        <c:tickLblPos val="nextTo"/>
        <c:txPr>
          <a:bodyPr/>
          <a:lstStyle/>
          <a:p>
            <a:pPr>
              <a:defRPr sz="800"/>
            </a:pPr>
            <a:endParaRPr lang="pl-PL"/>
          </a:p>
        </c:txPr>
        <c:crossAx val="18939724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5.4935123172313874E-2"/>
          <c:y val="0.69657455238477428"/>
          <c:w val="0.91682912415494255"/>
          <c:h val="0.27632150399142952"/>
        </c:manualLayout>
      </c:layout>
      <c:txPr>
        <a:bodyPr/>
        <a:lstStyle/>
        <a:p>
          <a:pPr>
            <a:defRPr sz="800"/>
          </a:pPr>
          <a:endParaRPr lang="pl-PL"/>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Zbiorczy!$C$11:$D$11</c:f>
              <c:numCache>
                <c:formatCode>0%</c:formatCode>
                <c:ptCount val="2"/>
                <c:pt idx="0">
                  <c:v>0.33751743375174792</c:v>
                </c:pt>
                <c:pt idx="1">
                  <c:v>0.66248256624825652</c:v>
                </c:pt>
              </c:numCache>
            </c:numRef>
          </c:val>
        </c:ser>
        <c:ser>
          <c:idx val="1"/>
          <c:order val="1"/>
          <c:tx>
            <c:v>Kobiety</c:v>
          </c:tx>
          <c:dLbls>
            <c:txPr>
              <a:bodyPr rot="-5400000" vert="horz"/>
              <a:lstStyle/>
              <a:p>
                <a:pPr>
                  <a:defRPr sz="900"/>
                </a:pPr>
                <a:endParaRPr lang="pl-PL"/>
              </a:p>
            </c:txPr>
            <c:showSerName val="1"/>
          </c:dLbls>
          <c:val>
            <c:numRef>
              <c:f>Zbiorczy!$F$11:$G$11</c:f>
              <c:numCache>
                <c:formatCode>0%</c:formatCode>
                <c:ptCount val="2"/>
                <c:pt idx="0">
                  <c:v>0.35667107001321002</c:v>
                </c:pt>
                <c:pt idx="1">
                  <c:v>0.64332892998678992</c:v>
                </c:pt>
              </c:numCache>
            </c:numRef>
          </c:val>
        </c:ser>
        <c:ser>
          <c:idx val="9"/>
          <c:order val="2"/>
          <c:val>
            <c:numLit>
              <c:formatCode>General</c:formatCode>
              <c:ptCount val="1"/>
              <c:pt idx="0">
                <c:v>0</c:v>
              </c:pt>
            </c:numLit>
          </c:val>
        </c:ser>
        <c:ser>
          <c:idx val="2"/>
          <c:order val="3"/>
          <c:tx>
            <c:v>Wykształcenie wyższe</c:v>
          </c:tx>
          <c:val>
            <c:numRef>
              <c:f>Zbiorczy!$I$11:$J$11</c:f>
              <c:numCache>
                <c:formatCode>0%</c:formatCode>
                <c:ptCount val="2"/>
                <c:pt idx="0">
                  <c:v>0.38914027149321612</c:v>
                </c:pt>
                <c:pt idx="1">
                  <c:v>0.61085972850679515</c:v>
                </c:pt>
              </c:numCache>
            </c:numRef>
          </c:val>
        </c:ser>
        <c:ser>
          <c:idx val="3"/>
          <c:order val="4"/>
          <c:tx>
            <c:v>Wykształcenie średnie i policealne</c:v>
          </c:tx>
          <c:val>
            <c:numRef>
              <c:f>Zbiorczy!$L$11:$M$11</c:f>
              <c:numCache>
                <c:formatCode>0%</c:formatCode>
                <c:ptCount val="2"/>
                <c:pt idx="0">
                  <c:v>0.30202578268876956</c:v>
                </c:pt>
                <c:pt idx="1">
                  <c:v>0.69797421731123765</c:v>
                </c:pt>
              </c:numCache>
            </c:numRef>
          </c:val>
        </c:ser>
        <c:ser>
          <c:idx val="4"/>
          <c:order val="5"/>
          <c:tx>
            <c:v>Wykształcenie zasadnicze zawodowe i poniżej</c:v>
          </c:tx>
          <c:val>
            <c:numRef>
              <c:f>Zbiorczy!$O$11:$P$11</c:f>
              <c:numCache>
                <c:formatCode>0%</c:formatCode>
                <c:ptCount val="2"/>
                <c:pt idx="0">
                  <c:v>0.37110481586402827</c:v>
                </c:pt>
                <c:pt idx="1">
                  <c:v>0.628895184135984</c:v>
                </c:pt>
              </c:numCache>
            </c:numRef>
          </c:val>
        </c:ser>
        <c:ser>
          <c:idx val="10"/>
          <c:order val="6"/>
          <c:val>
            <c:numLit>
              <c:formatCode>General</c:formatCode>
              <c:ptCount val="1"/>
              <c:pt idx="0">
                <c:v>0</c:v>
              </c:pt>
            </c:numLit>
          </c:val>
        </c:ser>
        <c:ser>
          <c:idx val="5"/>
          <c:order val="7"/>
          <c:tx>
            <c:v>Wiek: 18-29</c:v>
          </c:tx>
          <c:val>
            <c:numRef>
              <c:f>Zbiorczy!$R$11:$S$11</c:f>
              <c:numCache>
                <c:formatCode>0%</c:formatCode>
                <c:ptCount val="2"/>
                <c:pt idx="0">
                  <c:v>0.367688022284126</c:v>
                </c:pt>
                <c:pt idx="1">
                  <c:v>0.63231197771588354</c:v>
                </c:pt>
              </c:numCache>
            </c:numRef>
          </c:val>
        </c:ser>
        <c:ser>
          <c:idx val="6"/>
          <c:order val="8"/>
          <c:tx>
            <c:v>Wiek: 30-39</c:v>
          </c:tx>
          <c:val>
            <c:numRef>
              <c:f>Zbiorczy!$U$11:$V$11</c:f>
              <c:numCache>
                <c:formatCode>0%</c:formatCode>
                <c:ptCount val="2"/>
                <c:pt idx="0">
                  <c:v>0.28971962616822428</c:v>
                </c:pt>
                <c:pt idx="1">
                  <c:v>0.71028037383177567</c:v>
                </c:pt>
              </c:numCache>
            </c:numRef>
          </c:val>
        </c:ser>
        <c:ser>
          <c:idx val="7"/>
          <c:order val="9"/>
          <c:tx>
            <c:v>Wiek: 40-59</c:v>
          </c:tx>
          <c:val>
            <c:numRef>
              <c:f>Zbiorczy!$X$11:$Y$11</c:f>
              <c:numCache>
                <c:formatCode>0%</c:formatCode>
                <c:ptCount val="2"/>
                <c:pt idx="0">
                  <c:v>0.31768388106416962</c:v>
                </c:pt>
                <c:pt idx="1">
                  <c:v>0.68231611893583111</c:v>
                </c:pt>
              </c:numCache>
            </c:numRef>
          </c:val>
        </c:ser>
        <c:ser>
          <c:idx val="8"/>
          <c:order val="10"/>
          <c:tx>
            <c:v>Wiek: 60 i powyżej</c:v>
          </c:tx>
          <c:val>
            <c:numRef>
              <c:f>Zbiorczy!$AA$11:$AB$11</c:f>
              <c:numCache>
                <c:formatCode>0%</c:formatCode>
                <c:ptCount val="2"/>
                <c:pt idx="0">
                  <c:v>0.54109589041095962</c:v>
                </c:pt>
                <c:pt idx="1">
                  <c:v>0.45890410958904654</c:v>
                </c:pt>
              </c:numCache>
            </c:numRef>
          </c:val>
        </c:ser>
        <c:gapWidth val="136"/>
        <c:overlap val="-15"/>
        <c:axId val="192087552"/>
        <c:axId val="192089088"/>
      </c:barChart>
      <c:catAx>
        <c:axId val="192087552"/>
        <c:scaling>
          <c:orientation val="minMax"/>
        </c:scaling>
        <c:axPos val="b"/>
        <c:majorGridlines/>
        <c:tickLblPos val="nextTo"/>
        <c:crossAx val="192089088"/>
        <c:crosses val="autoZero"/>
        <c:auto val="1"/>
        <c:lblAlgn val="ctr"/>
        <c:lblOffset val="100"/>
      </c:catAx>
      <c:valAx>
        <c:axId val="192089088"/>
        <c:scaling>
          <c:orientation val="minMax"/>
        </c:scaling>
        <c:axPos val="l"/>
        <c:numFmt formatCode="0%" sourceLinked="1"/>
        <c:tickLblPos val="nextTo"/>
        <c:txPr>
          <a:bodyPr/>
          <a:lstStyle/>
          <a:p>
            <a:pPr>
              <a:defRPr sz="800"/>
            </a:pPr>
            <a:endParaRPr lang="pl-PL"/>
          </a:p>
        </c:txPr>
        <c:crossAx val="19208755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9889202745501329E-2"/>
          <c:y val="0.71283182727560757"/>
          <c:w val="0.88523865047936512"/>
          <c:h val="0.26151643512214401"/>
        </c:manualLayout>
      </c:layout>
      <c:txPr>
        <a:bodyPr/>
        <a:lstStyle/>
        <a:p>
          <a:pPr>
            <a:defRPr sz="800"/>
          </a:pPr>
          <a:endParaRPr lang="pl-PL"/>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Zbiorczy!$E$11</c:f>
              <c:numCache>
                <c:formatCode>General</c:formatCode>
                <c:ptCount val="1"/>
                <c:pt idx="0">
                  <c:v>3.0614035087719635</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Zbiorczy!$H$11</c:f>
              <c:numCache>
                <c:formatCode>General</c:formatCode>
                <c:ptCount val="1"/>
                <c:pt idx="0">
                  <c:v>2.6575342465754068</c:v>
                </c:pt>
              </c:numCache>
            </c:numRef>
          </c:val>
        </c:ser>
        <c:ser>
          <c:idx val="9"/>
          <c:order val="2"/>
          <c:val>
            <c:numLit>
              <c:formatCode>General</c:formatCode>
              <c:ptCount val="1"/>
              <c:pt idx="0">
                <c:v>0</c:v>
              </c:pt>
            </c:numLit>
          </c:val>
        </c:ser>
        <c:ser>
          <c:idx val="2"/>
          <c:order val="3"/>
          <c:tx>
            <c:v>Wykształcenie wyższe</c:v>
          </c:tx>
          <c:val>
            <c:numRef>
              <c:f>Zbiorczy!$K$11</c:f>
              <c:numCache>
                <c:formatCode>General</c:formatCode>
                <c:ptCount val="1"/>
                <c:pt idx="0">
                  <c:v>3.2238805970149587</c:v>
                </c:pt>
              </c:numCache>
            </c:numRef>
          </c:val>
        </c:ser>
        <c:ser>
          <c:idx val="3"/>
          <c:order val="4"/>
          <c:tx>
            <c:v>Wykształcenie średnie i policealne</c:v>
          </c:tx>
          <c:val>
            <c:numRef>
              <c:f>Zbiorczy!$N$11</c:f>
              <c:numCache>
                <c:formatCode>General</c:formatCode>
                <c:ptCount val="1"/>
                <c:pt idx="0">
                  <c:v>3.0346820809248527</c:v>
                </c:pt>
              </c:numCache>
            </c:numRef>
          </c:val>
        </c:ser>
        <c:ser>
          <c:idx val="4"/>
          <c:order val="5"/>
          <c:tx>
            <c:v>Wykształcenie zasadnicze zawodowe i poniżej</c:v>
          </c:tx>
          <c:val>
            <c:numRef>
              <c:f>Zbiorczy!$Q$11</c:f>
              <c:numCache>
                <c:formatCode>General</c:formatCode>
                <c:ptCount val="1"/>
                <c:pt idx="0">
                  <c:v>2.6129032258064515</c:v>
                </c:pt>
              </c:numCache>
            </c:numRef>
          </c:val>
        </c:ser>
        <c:ser>
          <c:idx val="10"/>
          <c:order val="6"/>
          <c:val>
            <c:numLit>
              <c:formatCode>General</c:formatCode>
              <c:ptCount val="1"/>
              <c:pt idx="0">
                <c:v>0</c:v>
              </c:pt>
            </c:numLit>
          </c:val>
        </c:ser>
        <c:ser>
          <c:idx val="5"/>
          <c:order val="7"/>
          <c:tx>
            <c:v>Wiek: 18-29</c:v>
          </c:tx>
          <c:val>
            <c:numRef>
              <c:f>Zbiorczy!$T$11</c:f>
              <c:numCache>
                <c:formatCode>General</c:formatCode>
                <c:ptCount val="1"/>
                <c:pt idx="0">
                  <c:v>3.5204081632653037</c:v>
                </c:pt>
              </c:numCache>
            </c:numRef>
          </c:val>
        </c:ser>
        <c:ser>
          <c:idx val="6"/>
          <c:order val="8"/>
          <c:tx>
            <c:v>Wiek: 30-39</c:v>
          </c:tx>
          <c:val>
            <c:numRef>
              <c:f>Zbiorczy!$W$11</c:f>
              <c:numCache>
                <c:formatCode>General</c:formatCode>
                <c:ptCount val="1"/>
                <c:pt idx="0">
                  <c:v>3.2659574468085202</c:v>
                </c:pt>
              </c:numCache>
            </c:numRef>
          </c:val>
        </c:ser>
        <c:ser>
          <c:idx val="7"/>
          <c:order val="9"/>
          <c:tx>
            <c:v>Wiek: 40-59</c:v>
          </c:tx>
          <c:val>
            <c:numRef>
              <c:f>Zbiorczy!$Z$11</c:f>
              <c:numCache>
                <c:formatCode>General</c:formatCode>
                <c:ptCount val="1"/>
                <c:pt idx="0">
                  <c:v>2.8873239436620017</c:v>
                </c:pt>
              </c:numCache>
            </c:numRef>
          </c:val>
        </c:ser>
        <c:ser>
          <c:idx val="8"/>
          <c:order val="10"/>
          <c:tx>
            <c:v>Wiek: 60 i powyżej</c:v>
          </c:tx>
          <c:val>
            <c:numRef>
              <c:f>Zbiorczy!$AC$11</c:f>
              <c:numCache>
                <c:formatCode>General</c:formatCode>
                <c:ptCount val="1"/>
                <c:pt idx="0">
                  <c:v>1.7522123893805321</c:v>
                </c:pt>
              </c:numCache>
            </c:numRef>
          </c:val>
        </c:ser>
        <c:axId val="192180992"/>
        <c:axId val="192182528"/>
      </c:barChart>
      <c:catAx>
        <c:axId val="192180992"/>
        <c:scaling>
          <c:orientation val="minMax"/>
        </c:scaling>
        <c:delete val="1"/>
        <c:axPos val="b"/>
        <c:tickLblPos val="none"/>
        <c:crossAx val="192182528"/>
        <c:crosses val="autoZero"/>
        <c:auto val="1"/>
        <c:lblAlgn val="ctr"/>
        <c:lblOffset val="100"/>
      </c:catAx>
      <c:valAx>
        <c:axId val="192182528"/>
        <c:scaling>
          <c:orientation val="minMax"/>
        </c:scaling>
        <c:axPos val="l"/>
        <c:numFmt formatCode="General" sourceLinked="1"/>
        <c:tickLblPos val="nextTo"/>
        <c:txPr>
          <a:bodyPr/>
          <a:lstStyle/>
          <a:p>
            <a:pPr>
              <a:defRPr sz="800"/>
            </a:pPr>
            <a:endParaRPr lang="pl-PL"/>
          </a:p>
        </c:txPr>
        <c:crossAx val="19218099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5111557664021786E-2"/>
          <c:y val="0.70109784915191042"/>
          <c:w val="0.8823964699301855"/>
          <c:h val="0.27220225764766232"/>
        </c:manualLayout>
      </c:layout>
      <c:txPr>
        <a:bodyPr/>
        <a:lstStyle/>
        <a:p>
          <a:pPr>
            <a:defRPr sz="800"/>
          </a:pPr>
          <a:endParaRPr lang="pl-PL"/>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8.9580806820665465E-2"/>
          <c:y val="5.537647285162945E-2"/>
          <c:w val="0.59391219244241356"/>
          <c:h val="0.8262520579074234"/>
        </c:manualLayout>
      </c:layout>
      <c:barChart>
        <c:barDir val="col"/>
        <c:grouping val="clustered"/>
        <c:ser>
          <c:idx val="0"/>
          <c:order val="0"/>
          <c:tx>
            <c:strRef>
              <c:f>instalacje!$A$74</c:f>
              <c:strCache>
                <c:ptCount val="1"/>
                <c:pt idx="0">
                  <c:v>średnia dla miast o porównywalnej wielkości</c:v>
                </c:pt>
              </c:strCache>
            </c:strRef>
          </c:tx>
          <c:spPr>
            <a:noFill/>
          </c:spPr>
          <c:cat>
            <c:strRef>
              <c:f>instalacje!$B$73:$H$73</c:f>
              <c:strCache>
                <c:ptCount val="7"/>
                <c:pt idx="0">
                  <c:v>2003</c:v>
                </c:pt>
                <c:pt idx="1">
                  <c:v>2004</c:v>
                </c:pt>
                <c:pt idx="2">
                  <c:v>2005</c:v>
                </c:pt>
                <c:pt idx="3">
                  <c:v>2006</c:v>
                </c:pt>
                <c:pt idx="4">
                  <c:v>2007</c:v>
                </c:pt>
                <c:pt idx="5">
                  <c:v>2008</c:v>
                </c:pt>
                <c:pt idx="6">
                  <c:v>2009</c:v>
                </c:pt>
              </c:strCache>
            </c:strRef>
          </c:cat>
          <c:val>
            <c:numRef>
              <c:f>instalacje!$B$74:$H$74</c:f>
              <c:numCache>
                <c:formatCode>General</c:formatCode>
                <c:ptCount val="7"/>
                <c:pt idx="0">
                  <c:v>10</c:v>
                </c:pt>
              </c:numCache>
            </c:numRef>
          </c:val>
        </c:ser>
        <c:ser>
          <c:idx val="1"/>
          <c:order val="1"/>
          <c:tx>
            <c:strRef>
              <c:f>instalacje!$A$75</c:f>
              <c:strCache>
                <c:ptCount val="1"/>
                <c:pt idx="0">
                  <c:v>wodociąg</c:v>
                </c:pt>
              </c:strCache>
            </c:strRef>
          </c:tx>
          <c:cat>
            <c:strRef>
              <c:f>instalacje!$B$73:$H$73</c:f>
              <c:strCache>
                <c:ptCount val="7"/>
                <c:pt idx="0">
                  <c:v>2003</c:v>
                </c:pt>
                <c:pt idx="1">
                  <c:v>2004</c:v>
                </c:pt>
                <c:pt idx="2">
                  <c:v>2005</c:v>
                </c:pt>
                <c:pt idx="3">
                  <c:v>2006</c:v>
                </c:pt>
                <c:pt idx="4">
                  <c:v>2007</c:v>
                </c:pt>
                <c:pt idx="5">
                  <c:v>2008</c:v>
                </c:pt>
                <c:pt idx="6">
                  <c:v>2009</c:v>
                </c:pt>
              </c:strCache>
            </c:strRef>
          </c:cat>
          <c:val>
            <c:numRef>
              <c:f>instalacje!$B$75:$H$75</c:f>
              <c:numCache>
                <c:formatCode>0.0</c:formatCode>
                <c:ptCount val="7"/>
                <c:pt idx="0">
                  <c:v>93.594736842105249</c:v>
                </c:pt>
                <c:pt idx="1">
                  <c:v>93.791228070177397</c:v>
                </c:pt>
                <c:pt idx="2">
                  <c:v>94.033333333333289</c:v>
                </c:pt>
                <c:pt idx="3">
                  <c:v>94.131578947368439</c:v>
                </c:pt>
                <c:pt idx="4">
                  <c:v>94.194736842105158</c:v>
                </c:pt>
                <c:pt idx="5">
                  <c:v>94.487719298247796</c:v>
                </c:pt>
                <c:pt idx="6">
                  <c:v>94.617543859649146</c:v>
                </c:pt>
              </c:numCache>
            </c:numRef>
          </c:val>
        </c:ser>
        <c:ser>
          <c:idx val="2"/>
          <c:order val="2"/>
          <c:tx>
            <c:strRef>
              <c:f>instalacje!$A$76</c:f>
              <c:strCache>
                <c:ptCount val="1"/>
                <c:pt idx="0">
                  <c:v>kanalizacja</c:v>
                </c:pt>
              </c:strCache>
            </c:strRef>
          </c:tx>
          <c:cat>
            <c:strRef>
              <c:f>instalacje!$B$73:$H$73</c:f>
              <c:strCache>
                <c:ptCount val="7"/>
                <c:pt idx="0">
                  <c:v>2003</c:v>
                </c:pt>
                <c:pt idx="1">
                  <c:v>2004</c:v>
                </c:pt>
                <c:pt idx="2">
                  <c:v>2005</c:v>
                </c:pt>
                <c:pt idx="3">
                  <c:v>2006</c:v>
                </c:pt>
                <c:pt idx="4">
                  <c:v>2007</c:v>
                </c:pt>
                <c:pt idx="5">
                  <c:v>2008</c:v>
                </c:pt>
                <c:pt idx="6">
                  <c:v>2009</c:v>
                </c:pt>
              </c:strCache>
            </c:strRef>
          </c:cat>
          <c:val>
            <c:numRef>
              <c:f>instalacje!$B$76:$H$76</c:f>
              <c:numCache>
                <c:formatCode>0.0</c:formatCode>
                <c:ptCount val="7"/>
                <c:pt idx="0">
                  <c:v>83.749122807017727</c:v>
                </c:pt>
                <c:pt idx="1">
                  <c:v>84.619298245614033</c:v>
                </c:pt>
                <c:pt idx="2">
                  <c:v>85.110526315789258</c:v>
                </c:pt>
                <c:pt idx="3">
                  <c:v>85.612280701754358</c:v>
                </c:pt>
                <c:pt idx="4">
                  <c:v>85.801754385964912</c:v>
                </c:pt>
                <c:pt idx="5">
                  <c:v>86.422807017541416</c:v>
                </c:pt>
                <c:pt idx="6">
                  <c:v>86.759649122807005</c:v>
                </c:pt>
              </c:numCache>
            </c:numRef>
          </c:val>
        </c:ser>
        <c:ser>
          <c:idx val="3"/>
          <c:order val="3"/>
          <c:tx>
            <c:strRef>
              <c:f>instalacje!$A$77</c:f>
              <c:strCache>
                <c:ptCount val="1"/>
                <c:pt idx="0">
                  <c:v>gaz</c:v>
                </c:pt>
              </c:strCache>
            </c:strRef>
          </c:tx>
          <c:cat>
            <c:strRef>
              <c:f>instalacje!$B$73:$H$73</c:f>
              <c:strCache>
                <c:ptCount val="7"/>
                <c:pt idx="0">
                  <c:v>2003</c:v>
                </c:pt>
                <c:pt idx="1">
                  <c:v>2004</c:v>
                </c:pt>
                <c:pt idx="2">
                  <c:v>2005</c:v>
                </c:pt>
                <c:pt idx="3">
                  <c:v>2006</c:v>
                </c:pt>
                <c:pt idx="4">
                  <c:v>2007</c:v>
                </c:pt>
                <c:pt idx="5">
                  <c:v>2008</c:v>
                </c:pt>
                <c:pt idx="6">
                  <c:v>2009</c:v>
                </c:pt>
              </c:strCache>
            </c:strRef>
          </c:cat>
          <c:val>
            <c:numRef>
              <c:f>instalacje!$B$77:$H$77</c:f>
              <c:numCache>
                <c:formatCode>0.0</c:formatCode>
                <c:ptCount val="7"/>
                <c:pt idx="0">
                  <c:v>75.645614035087704</c:v>
                </c:pt>
                <c:pt idx="1">
                  <c:v>73.592982456140348</c:v>
                </c:pt>
                <c:pt idx="2">
                  <c:v>73.396491228070204</c:v>
                </c:pt>
                <c:pt idx="3">
                  <c:v>73.405263157894709</c:v>
                </c:pt>
                <c:pt idx="4">
                  <c:v>73.287719298246827</c:v>
                </c:pt>
                <c:pt idx="5">
                  <c:v>73.119298245614061</c:v>
                </c:pt>
                <c:pt idx="6">
                  <c:v>73.596491228070192</c:v>
                </c:pt>
              </c:numCache>
            </c:numRef>
          </c:val>
        </c:ser>
        <c:ser>
          <c:idx val="4"/>
          <c:order val="4"/>
          <c:tx>
            <c:strRef>
              <c:f>instalacje!$A$78</c:f>
              <c:strCache>
                <c:ptCount val="1"/>
                <c:pt idx="0">
                  <c:v>Nowa Sól</c:v>
                </c:pt>
              </c:strCache>
            </c:strRef>
          </c:tx>
          <c:spPr>
            <a:noFill/>
          </c:spPr>
          <c:cat>
            <c:strRef>
              <c:f>instalacje!$B$73:$H$73</c:f>
              <c:strCache>
                <c:ptCount val="7"/>
                <c:pt idx="0">
                  <c:v>2003</c:v>
                </c:pt>
                <c:pt idx="1">
                  <c:v>2004</c:v>
                </c:pt>
                <c:pt idx="2">
                  <c:v>2005</c:v>
                </c:pt>
                <c:pt idx="3">
                  <c:v>2006</c:v>
                </c:pt>
                <c:pt idx="4">
                  <c:v>2007</c:v>
                </c:pt>
                <c:pt idx="5">
                  <c:v>2008</c:v>
                </c:pt>
                <c:pt idx="6">
                  <c:v>2009</c:v>
                </c:pt>
              </c:strCache>
            </c:strRef>
          </c:cat>
          <c:val>
            <c:numRef>
              <c:f>instalacje!$B$78:$H$78</c:f>
              <c:numCache>
                <c:formatCode>General</c:formatCode>
                <c:ptCount val="7"/>
                <c:pt idx="0" formatCode="0.0">
                  <c:v>20</c:v>
                </c:pt>
              </c:numCache>
            </c:numRef>
          </c:val>
        </c:ser>
        <c:axId val="192271104"/>
        <c:axId val="192272640"/>
      </c:barChart>
      <c:lineChart>
        <c:grouping val="standard"/>
        <c:ser>
          <c:idx val="5"/>
          <c:order val="5"/>
          <c:tx>
            <c:strRef>
              <c:f>instalacje!$A$79</c:f>
              <c:strCache>
                <c:ptCount val="1"/>
                <c:pt idx="0">
                  <c:v>wodociąg</c:v>
                </c:pt>
              </c:strCache>
            </c:strRef>
          </c:tx>
          <c:marker>
            <c:symbol val="circle"/>
            <c:size val="7"/>
          </c:marker>
          <c:cat>
            <c:strRef>
              <c:f>instalacje!$B$73:$H$73</c:f>
              <c:strCache>
                <c:ptCount val="7"/>
                <c:pt idx="0">
                  <c:v>2003</c:v>
                </c:pt>
                <c:pt idx="1">
                  <c:v>2004</c:v>
                </c:pt>
                <c:pt idx="2">
                  <c:v>2005</c:v>
                </c:pt>
                <c:pt idx="3">
                  <c:v>2006</c:v>
                </c:pt>
                <c:pt idx="4">
                  <c:v>2007</c:v>
                </c:pt>
                <c:pt idx="5">
                  <c:v>2008</c:v>
                </c:pt>
                <c:pt idx="6">
                  <c:v>2009</c:v>
                </c:pt>
              </c:strCache>
            </c:strRef>
          </c:cat>
          <c:val>
            <c:numRef>
              <c:f>instalacje!$B$79:$H$79</c:f>
              <c:numCache>
                <c:formatCode>General</c:formatCode>
                <c:ptCount val="7"/>
                <c:pt idx="0">
                  <c:v>97</c:v>
                </c:pt>
                <c:pt idx="1">
                  <c:v>97</c:v>
                </c:pt>
                <c:pt idx="2">
                  <c:v>97.1</c:v>
                </c:pt>
                <c:pt idx="3">
                  <c:v>97.1</c:v>
                </c:pt>
                <c:pt idx="4">
                  <c:v>97.1</c:v>
                </c:pt>
                <c:pt idx="5">
                  <c:v>97.2</c:v>
                </c:pt>
                <c:pt idx="6">
                  <c:v>97.2</c:v>
                </c:pt>
              </c:numCache>
            </c:numRef>
          </c:val>
        </c:ser>
        <c:ser>
          <c:idx val="6"/>
          <c:order val="6"/>
          <c:tx>
            <c:strRef>
              <c:f>instalacje!$A$80</c:f>
              <c:strCache>
                <c:ptCount val="1"/>
                <c:pt idx="0">
                  <c:v>kanalizacja</c:v>
                </c:pt>
              </c:strCache>
            </c:strRef>
          </c:tx>
          <c:marker>
            <c:symbol val="plus"/>
            <c:size val="8"/>
          </c:marker>
          <c:cat>
            <c:strRef>
              <c:f>instalacje!$B$73:$H$73</c:f>
              <c:strCache>
                <c:ptCount val="7"/>
                <c:pt idx="0">
                  <c:v>2003</c:v>
                </c:pt>
                <c:pt idx="1">
                  <c:v>2004</c:v>
                </c:pt>
                <c:pt idx="2">
                  <c:v>2005</c:v>
                </c:pt>
                <c:pt idx="3">
                  <c:v>2006</c:v>
                </c:pt>
                <c:pt idx="4">
                  <c:v>2007</c:v>
                </c:pt>
                <c:pt idx="5">
                  <c:v>2008</c:v>
                </c:pt>
                <c:pt idx="6">
                  <c:v>2009</c:v>
                </c:pt>
              </c:strCache>
            </c:strRef>
          </c:cat>
          <c:val>
            <c:numRef>
              <c:f>instalacje!$B$80:$H$80</c:f>
              <c:numCache>
                <c:formatCode>General</c:formatCode>
                <c:ptCount val="7"/>
                <c:pt idx="0">
                  <c:v>79.400000000000006</c:v>
                </c:pt>
                <c:pt idx="1">
                  <c:v>86.4</c:v>
                </c:pt>
                <c:pt idx="2">
                  <c:v>86.4</c:v>
                </c:pt>
                <c:pt idx="3">
                  <c:v>86.6</c:v>
                </c:pt>
                <c:pt idx="4">
                  <c:v>86.9</c:v>
                </c:pt>
                <c:pt idx="5">
                  <c:v>86.9</c:v>
                </c:pt>
                <c:pt idx="6">
                  <c:v>86.9</c:v>
                </c:pt>
              </c:numCache>
            </c:numRef>
          </c:val>
        </c:ser>
        <c:ser>
          <c:idx val="7"/>
          <c:order val="7"/>
          <c:tx>
            <c:strRef>
              <c:f>instalacje!$A$81</c:f>
              <c:strCache>
                <c:ptCount val="1"/>
                <c:pt idx="0">
                  <c:v>gaz</c:v>
                </c:pt>
              </c:strCache>
            </c:strRef>
          </c:tx>
          <c:cat>
            <c:strRef>
              <c:f>instalacje!$B$73:$H$73</c:f>
              <c:strCache>
                <c:ptCount val="7"/>
                <c:pt idx="0">
                  <c:v>2003</c:v>
                </c:pt>
                <c:pt idx="1">
                  <c:v>2004</c:v>
                </c:pt>
                <c:pt idx="2">
                  <c:v>2005</c:v>
                </c:pt>
                <c:pt idx="3">
                  <c:v>2006</c:v>
                </c:pt>
                <c:pt idx="4">
                  <c:v>2007</c:v>
                </c:pt>
                <c:pt idx="5">
                  <c:v>2008</c:v>
                </c:pt>
                <c:pt idx="6">
                  <c:v>2009</c:v>
                </c:pt>
              </c:strCache>
            </c:strRef>
          </c:cat>
          <c:val>
            <c:numRef>
              <c:f>instalacje!$B$81:$H$81</c:f>
              <c:numCache>
                <c:formatCode>General</c:formatCode>
                <c:ptCount val="7"/>
                <c:pt idx="0">
                  <c:v>90.9</c:v>
                </c:pt>
                <c:pt idx="1">
                  <c:v>90.8</c:v>
                </c:pt>
                <c:pt idx="2">
                  <c:v>90.7</c:v>
                </c:pt>
                <c:pt idx="3">
                  <c:v>90.5</c:v>
                </c:pt>
                <c:pt idx="4">
                  <c:v>90.6</c:v>
                </c:pt>
                <c:pt idx="5">
                  <c:v>90.4</c:v>
                </c:pt>
                <c:pt idx="6">
                  <c:v>90.5</c:v>
                </c:pt>
              </c:numCache>
            </c:numRef>
          </c:val>
        </c:ser>
        <c:marker val="1"/>
        <c:axId val="192271104"/>
        <c:axId val="192272640"/>
      </c:lineChart>
      <c:catAx>
        <c:axId val="192271104"/>
        <c:scaling>
          <c:orientation val="minMax"/>
        </c:scaling>
        <c:axPos val="b"/>
        <c:majorTickMark val="none"/>
        <c:tickLblPos val="nextTo"/>
        <c:txPr>
          <a:bodyPr/>
          <a:lstStyle/>
          <a:p>
            <a:pPr>
              <a:defRPr sz="900"/>
            </a:pPr>
            <a:endParaRPr lang="pl-PL"/>
          </a:p>
        </c:txPr>
        <c:crossAx val="192272640"/>
        <c:crosses val="autoZero"/>
        <c:auto val="1"/>
        <c:lblAlgn val="ctr"/>
        <c:lblOffset val="100"/>
      </c:catAx>
      <c:valAx>
        <c:axId val="192272640"/>
        <c:scaling>
          <c:orientation val="minMax"/>
          <c:max val="100"/>
        </c:scaling>
        <c:axPos val="l"/>
        <c:majorGridlines/>
        <c:title>
          <c:tx>
            <c:rich>
              <a:bodyPr/>
              <a:lstStyle/>
              <a:p>
                <a:pPr>
                  <a:defRPr sz="800"/>
                </a:pPr>
                <a:r>
                  <a:rPr lang="pl-PL" sz="800"/>
                  <a:t>%</a:t>
                </a:r>
              </a:p>
            </c:rich>
          </c:tx>
        </c:title>
        <c:numFmt formatCode="General" sourceLinked="1"/>
        <c:tickLblPos val="nextTo"/>
        <c:txPr>
          <a:bodyPr/>
          <a:lstStyle/>
          <a:p>
            <a:pPr>
              <a:defRPr sz="800"/>
            </a:pPr>
            <a:endParaRPr lang="pl-PL"/>
          </a:p>
        </c:txPr>
        <c:crossAx val="192271104"/>
        <c:crosses val="autoZero"/>
        <c:crossBetween val="between"/>
      </c:valAx>
    </c:plotArea>
    <c:legend>
      <c:legendPos val="r"/>
      <c:txPr>
        <a:bodyPr/>
        <a:lstStyle/>
        <a:p>
          <a:pPr>
            <a:defRPr sz="800"/>
          </a:pPr>
          <a:endParaRPr lang="pl-PL"/>
        </a:p>
      </c:txPr>
    </c:legend>
    <c:plotVisOnly val="1"/>
    <c:dispBlanksAs val="gap"/>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580637949910073E-2"/>
          <c:y val="4.9681480188042804E-2"/>
          <c:w val="0.87603282295163454"/>
          <c:h val="0.56799623601441518"/>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Zbiorczy!$C$8:$D$8</c:f>
              <c:numCache>
                <c:formatCode>0%</c:formatCode>
                <c:ptCount val="2"/>
                <c:pt idx="0">
                  <c:v>0.81051587301588013</c:v>
                </c:pt>
                <c:pt idx="1">
                  <c:v>0.18948412698412875</c:v>
                </c:pt>
              </c:numCache>
            </c:numRef>
          </c:val>
        </c:ser>
        <c:ser>
          <c:idx val="1"/>
          <c:order val="1"/>
          <c:tx>
            <c:v>Kobiety</c:v>
          </c:tx>
          <c:dLbls>
            <c:txPr>
              <a:bodyPr rot="-5400000" vert="horz"/>
              <a:lstStyle/>
              <a:p>
                <a:pPr>
                  <a:defRPr sz="900"/>
                </a:pPr>
                <a:endParaRPr lang="pl-PL"/>
              </a:p>
            </c:txPr>
            <c:showSerName val="1"/>
          </c:dLbls>
          <c:val>
            <c:numRef>
              <c:f>Zbiorczy!$F$8:$G$8</c:f>
              <c:numCache>
                <c:formatCode>0%</c:formatCode>
                <c:ptCount val="2"/>
                <c:pt idx="0">
                  <c:v>0.60304449648713165</c:v>
                </c:pt>
                <c:pt idx="1">
                  <c:v>0.39695550351288666</c:v>
                </c:pt>
              </c:numCache>
            </c:numRef>
          </c:val>
        </c:ser>
        <c:ser>
          <c:idx val="9"/>
          <c:order val="2"/>
          <c:val>
            <c:numLit>
              <c:formatCode>General</c:formatCode>
              <c:ptCount val="1"/>
              <c:pt idx="0">
                <c:v>0</c:v>
              </c:pt>
            </c:numLit>
          </c:val>
        </c:ser>
        <c:ser>
          <c:idx val="2"/>
          <c:order val="3"/>
          <c:tx>
            <c:v>Wykształcenie wyższe</c:v>
          </c:tx>
          <c:val>
            <c:numRef>
              <c:f>Zbiorczy!$I$8:$J$8</c:f>
              <c:numCache>
                <c:formatCode>0%</c:formatCode>
                <c:ptCount val="2"/>
                <c:pt idx="0">
                  <c:v>0.8870431893687708</c:v>
                </c:pt>
                <c:pt idx="1">
                  <c:v>0.11295681063122924</c:v>
                </c:pt>
              </c:numCache>
            </c:numRef>
          </c:val>
        </c:ser>
        <c:ser>
          <c:idx val="3"/>
          <c:order val="4"/>
          <c:tx>
            <c:v>Wykształcenie średnie i policealne</c:v>
          </c:tx>
          <c:val>
            <c:numRef>
              <c:f>Zbiorczy!$L$8:$M$8</c:f>
              <c:numCache>
                <c:formatCode>0%</c:formatCode>
                <c:ptCount val="2"/>
                <c:pt idx="0">
                  <c:v>0.72171253822629966</c:v>
                </c:pt>
                <c:pt idx="1">
                  <c:v>0.27828746177370367</c:v>
                </c:pt>
              </c:numCache>
            </c:numRef>
          </c:val>
        </c:ser>
        <c:ser>
          <c:idx val="4"/>
          <c:order val="5"/>
          <c:tx>
            <c:v>Wykształcenie zasadnicze zawodowe i poniżej</c:v>
          </c:tx>
          <c:val>
            <c:numRef>
              <c:f>Zbiorczy!$O$8:$P$8</c:f>
              <c:numCache>
                <c:formatCode>0%</c:formatCode>
                <c:ptCount val="2"/>
                <c:pt idx="0">
                  <c:v>0.65342163355410232</c:v>
                </c:pt>
                <c:pt idx="1">
                  <c:v>0.34657836644591788</c:v>
                </c:pt>
              </c:numCache>
            </c:numRef>
          </c:val>
        </c:ser>
        <c:ser>
          <c:idx val="10"/>
          <c:order val="6"/>
          <c:val>
            <c:numLit>
              <c:formatCode>General</c:formatCode>
              <c:ptCount val="1"/>
              <c:pt idx="0">
                <c:v>0</c:v>
              </c:pt>
            </c:numLit>
          </c:val>
        </c:ser>
        <c:ser>
          <c:idx val="5"/>
          <c:order val="7"/>
          <c:tx>
            <c:v>Wiek: 18-29</c:v>
          </c:tx>
          <c:val>
            <c:numRef>
              <c:f>Zbiorczy!$R$8:$S$8</c:f>
              <c:numCache>
                <c:formatCode>0%</c:formatCode>
                <c:ptCount val="2"/>
                <c:pt idx="0">
                  <c:v>0.80049875311720697</c:v>
                </c:pt>
                <c:pt idx="1">
                  <c:v>0.1995012468827958</c:v>
                </c:pt>
              </c:numCache>
            </c:numRef>
          </c:val>
        </c:ser>
        <c:ser>
          <c:idx val="6"/>
          <c:order val="8"/>
          <c:tx>
            <c:v>Wiek: 30-39</c:v>
          </c:tx>
          <c:val>
            <c:numRef>
              <c:f>Zbiorczy!$U$8:$V$8</c:f>
              <c:numCache>
                <c:formatCode>0%</c:formatCode>
                <c:ptCount val="2"/>
                <c:pt idx="0">
                  <c:v>0.76381909547739391</c:v>
                </c:pt>
                <c:pt idx="1">
                  <c:v>0.23618090452261306</c:v>
                </c:pt>
              </c:numCache>
            </c:numRef>
          </c:val>
        </c:ser>
        <c:ser>
          <c:idx val="7"/>
          <c:order val="9"/>
          <c:tx>
            <c:v>Wiek: 40-59</c:v>
          </c:tx>
          <c:val>
            <c:numRef>
              <c:f>Zbiorczy!$X$8:$Y$8</c:f>
              <c:numCache>
                <c:formatCode>0%</c:formatCode>
                <c:ptCount val="2"/>
                <c:pt idx="0">
                  <c:v>0.72564102564103461</c:v>
                </c:pt>
                <c:pt idx="1">
                  <c:v>0.27435897435897988</c:v>
                </c:pt>
              </c:numCache>
            </c:numRef>
          </c:val>
        </c:ser>
        <c:ser>
          <c:idx val="8"/>
          <c:order val="10"/>
          <c:tx>
            <c:v>Wiek: 60 i powyżej</c:v>
          </c:tx>
          <c:val>
            <c:numRef>
              <c:f>Zbiorczy!$AA$8:$AB$8</c:f>
              <c:numCache>
                <c:formatCode>0%</c:formatCode>
                <c:ptCount val="2"/>
                <c:pt idx="0">
                  <c:v>0.48550724637681181</c:v>
                </c:pt>
                <c:pt idx="1">
                  <c:v>0.51449275362319602</c:v>
                </c:pt>
              </c:numCache>
            </c:numRef>
          </c:val>
        </c:ser>
        <c:gapWidth val="136"/>
        <c:overlap val="-15"/>
        <c:axId val="192453632"/>
        <c:axId val="196739840"/>
      </c:barChart>
      <c:catAx>
        <c:axId val="192453632"/>
        <c:scaling>
          <c:orientation val="minMax"/>
        </c:scaling>
        <c:axPos val="b"/>
        <c:majorGridlines/>
        <c:tickLblPos val="nextTo"/>
        <c:crossAx val="196739840"/>
        <c:crosses val="autoZero"/>
        <c:auto val="1"/>
        <c:lblAlgn val="ctr"/>
        <c:lblOffset val="100"/>
      </c:catAx>
      <c:valAx>
        <c:axId val="196739840"/>
        <c:scaling>
          <c:orientation val="minMax"/>
        </c:scaling>
        <c:axPos val="l"/>
        <c:numFmt formatCode="0%" sourceLinked="1"/>
        <c:tickLblPos val="nextTo"/>
        <c:txPr>
          <a:bodyPr/>
          <a:lstStyle/>
          <a:p>
            <a:pPr>
              <a:defRPr sz="800"/>
            </a:pPr>
            <a:endParaRPr lang="pl-PL"/>
          </a:p>
        </c:txPr>
        <c:crossAx val="19245363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3.7411327252455648E-2"/>
          <c:y val="0.72824550403942134"/>
          <c:w val="0.94309765144592694"/>
          <c:h val="0.24465550676710129"/>
        </c:manualLayout>
      </c:layout>
      <c:txPr>
        <a:bodyPr/>
        <a:lstStyle/>
        <a:p>
          <a:pPr>
            <a:defRPr sz="800"/>
          </a:pPr>
          <a:endParaRPr lang="pl-PL"/>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Zbiorczy!$E$8</c:f>
              <c:numCache>
                <c:formatCode>General</c:formatCode>
                <c:ptCount val="1"/>
                <c:pt idx="0">
                  <c:v>3.4978540772532187</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Zbiorczy!$H$8</c:f>
              <c:numCache>
                <c:formatCode>General</c:formatCode>
                <c:ptCount val="1"/>
                <c:pt idx="0">
                  <c:v>2.7431506849315292</c:v>
                </c:pt>
              </c:numCache>
            </c:numRef>
          </c:val>
        </c:ser>
        <c:ser>
          <c:idx val="9"/>
          <c:order val="2"/>
          <c:val>
            <c:numLit>
              <c:formatCode>General</c:formatCode>
              <c:ptCount val="1"/>
              <c:pt idx="0">
                <c:v>0</c:v>
              </c:pt>
            </c:numLit>
          </c:val>
        </c:ser>
        <c:ser>
          <c:idx val="2"/>
          <c:order val="3"/>
          <c:tx>
            <c:v>Wykształcenie wyższe</c:v>
          </c:tx>
          <c:val>
            <c:numRef>
              <c:f>Zbiorczy!$K$8</c:f>
              <c:numCache>
                <c:formatCode>General</c:formatCode>
                <c:ptCount val="1"/>
                <c:pt idx="0">
                  <c:v>3.3088235294117627</c:v>
                </c:pt>
              </c:numCache>
            </c:numRef>
          </c:val>
        </c:ser>
        <c:ser>
          <c:idx val="3"/>
          <c:order val="4"/>
          <c:tx>
            <c:v>Wykształcenie średnie i policealne</c:v>
          </c:tx>
          <c:val>
            <c:numRef>
              <c:f>Zbiorczy!$N$8</c:f>
              <c:numCache>
                <c:formatCode>General</c:formatCode>
                <c:ptCount val="1"/>
                <c:pt idx="0">
                  <c:v>3.2427745664740177</c:v>
                </c:pt>
              </c:numCache>
            </c:numRef>
          </c:val>
        </c:ser>
        <c:ser>
          <c:idx val="4"/>
          <c:order val="5"/>
          <c:tx>
            <c:v>Wykształcenie zasadnicze zawodowe i poniżej</c:v>
          </c:tx>
          <c:val>
            <c:numRef>
              <c:f>Zbiorczy!$Q$8</c:f>
              <c:numCache>
                <c:formatCode>General</c:formatCode>
                <c:ptCount val="1"/>
                <c:pt idx="0">
                  <c:v>2.9293286219081267</c:v>
                </c:pt>
              </c:numCache>
            </c:numRef>
          </c:val>
        </c:ser>
        <c:ser>
          <c:idx val="10"/>
          <c:order val="6"/>
          <c:val>
            <c:numLit>
              <c:formatCode>General</c:formatCode>
              <c:ptCount val="1"/>
              <c:pt idx="0">
                <c:v>0</c:v>
              </c:pt>
            </c:numLit>
          </c:val>
        </c:ser>
        <c:ser>
          <c:idx val="5"/>
          <c:order val="7"/>
          <c:tx>
            <c:v>Wiek: 18-29</c:v>
          </c:tx>
          <c:val>
            <c:numRef>
              <c:f>Zbiorczy!$T$8</c:f>
              <c:numCache>
                <c:formatCode>General</c:formatCode>
                <c:ptCount val="1"/>
                <c:pt idx="0">
                  <c:v>3.38</c:v>
                </c:pt>
              </c:numCache>
            </c:numRef>
          </c:val>
        </c:ser>
        <c:ser>
          <c:idx val="6"/>
          <c:order val="8"/>
          <c:tx>
            <c:v>Wiek: 30-39</c:v>
          </c:tx>
          <c:val>
            <c:numRef>
              <c:f>Zbiorczy!$W$8</c:f>
              <c:numCache>
                <c:formatCode>General</c:formatCode>
                <c:ptCount val="1"/>
                <c:pt idx="0">
                  <c:v>3.3333333333333335</c:v>
                </c:pt>
              </c:numCache>
            </c:numRef>
          </c:val>
        </c:ser>
        <c:ser>
          <c:idx val="7"/>
          <c:order val="9"/>
          <c:tx>
            <c:v>Wiek: 40-59</c:v>
          </c:tx>
          <c:val>
            <c:numRef>
              <c:f>Zbiorczy!$Z$8</c:f>
              <c:numCache>
                <c:formatCode>General</c:formatCode>
                <c:ptCount val="1"/>
                <c:pt idx="0">
                  <c:v>3.1830985915492982</c:v>
                </c:pt>
              </c:numCache>
            </c:numRef>
          </c:val>
        </c:ser>
        <c:ser>
          <c:idx val="8"/>
          <c:order val="10"/>
          <c:tx>
            <c:v>Wiek: 60 i powyżej</c:v>
          </c:tx>
          <c:val>
            <c:numRef>
              <c:f>Zbiorczy!$AC$8</c:f>
              <c:numCache>
                <c:formatCode>General</c:formatCode>
                <c:ptCount val="1"/>
                <c:pt idx="0">
                  <c:v>2.4210526315789367</c:v>
                </c:pt>
              </c:numCache>
            </c:numRef>
          </c:val>
        </c:ser>
        <c:axId val="196806912"/>
        <c:axId val="196812800"/>
      </c:barChart>
      <c:catAx>
        <c:axId val="196806912"/>
        <c:scaling>
          <c:orientation val="minMax"/>
        </c:scaling>
        <c:delete val="1"/>
        <c:axPos val="b"/>
        <c:tickLblPos val="none"/>
        <c:crossAx val="196812800"/>
        <c:crosses val="autoZero"/>
        <c:auto val="1"/>
        <c:lblAlgn val="ctr"/>
        <c:lblOffset val="100"/>
      </c:catAx>
      <c:valAx>
        <c:axId val="196812800"/>
        <c:scaling>
          <c:orientation val="minMax"/>
        </c:scaling>
        <c:axPos val="l"/>
        <c:numFmt formatCode="General" sourceLinked="1"/>
        <c:tickLblPos val="nextTo"/>
        <c:txPr>
          <a:bodyPr/>
          <a:lstStyle/>
          <a:p>
            <a:pPr>
              <a:defRPr sz="800"/>
            </a:pPr>
            <a:endParaRPr lang="pl-PL"/>
          </a:p>
        </c:txPr>
        <c:crossAx val="19680691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3.7191026192682483E-2"/>
          <c:y val="0.7010805672057997"/>
          <c:w val="0.93065667293358112"/>
          <c:h val="0.27221799585742307"/>
        </c:manualLayout>
      </c:layout>
      <c:txPr>
        <a:bodyPr/>
        <a:lstStyle/>
        <a:p>
          <a:pPr>
            <a:defRPr sz="800"/>
          </a:pPr>
          <a:endParaRPr lang="pl-PL"/>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Zbiorczy!$C$9:$D$9</c:f>
              <c:numCache>
                <c:formatCode>0%</c:formatCode>
                <c:ptCount val="2"/>
                <c:pt idx="0">
                  <c:v>0.44779874213836479</c:v>
                </c:pt>
                <c:pt idx="1">
                  <c:v>0.55220125786163521</c:v>
                </c:pt>
              </c:numCache>
            </c:numRef>
          </c:val>
        </c:ser>
        <c:ser>
          <c:idx val="1"/>
          <c:order val="1"/>
          <c:tx>
            <c:v>Kobiety</c:v>
          </c:tx>
          <c:dLbls>
            <c:txPr>
              <a:bodyPr rot="-5400000" vert="horz"/>
              <a:lstStyle/>
              <a:p>
                <a:pPr>
                  <a:defRPr sz="900"/>
                </a:pPr>
                <a:endParaRPr lang="pl-PL"/>
              </a:p>
            </c:txPr>
            <c:showSerName val="1"/>
          </c:dLbls>
          <c:val>
            <c:numRef>
              <c:f>Zbiorczy!$F$9:$G$9</c:f>
              <c:numCache>
                <c:formatCode>0%</c:formatCode>
                <c:ptCount val="2"/>
                <c:pt idx="0">
                  <c:v>0.30847029077117588</c:v>
                </c:pt>
                <c:pt idx="1">
                  <c:v>0.69152970922882462</c:v>
                </c:pt>
              </c:numCache>
            </c:numRef>
          </c:val>
        </c:ser>
        <c:ser>
          <c:idx val="9"/>
          <c:order val="2"/>
          <c:val>
            <c:numLit>
              <c:formatCode>General</c:formatCode>
              <c:ptCount val="1"/>
              <c:pt idx="0">
                <c:v>0</c:v>
              </c:pt>
            </c:numLit>
          </c:val>
        </c:ser>
        <c:ser>
          <c:idx val="2"/>
          <c:order val="3"/>
          <c:tx>
            <c:v>Wykształcenie wyższe</c:v>
          </c:tx>
          <c:val>
            <c:numRef>
              <c:f>Zbiorczy!$I$9:$J$9</c:f>
              <c:numCache>
                <c:formatCode>0%</c:formatCode>
                <c:ptCount val="2"/>
                <c:pt idx="0">
                  <c:v>0.56273764258555925</c:v>
                </c:pt>
                <c:pt idx="1">
                  <c:v>0.43726235741445257</c:v>
                </c:pt>
              </c:numCache>
            </c:numRef>
          </c:val>
        </c:ser>
        <c:ser>
          <c:idx val="3"/>
          <c:order val="4"/>
          <c:tx>
            <c:v>Wykształcenie średnie i policealne</c:v>
          </c:tx>
          <c:val>
            <c:numRef>
              <c:f>Zbiorczy!$L$9:$M$9</c:f>
              <c:numCache>
                <c:formatCode>0%</c:formatCode>
                <c:ptCount val="2"/>
                <c:pt idx="0">
                  <c:v>0.45119705340699268</c:v>
                </c:pt>
                <c:pt idx="1">
                  <c:v>0.54880294659300799</c:v>
                </c:pt>
              </c:numCache>
            </c:numRef>
          </c:val>
        </c:ser>
        <c:ser>
          <c:idx val="4"/>
          <c:order val="5"/>
          <c:tx>
            <c:v>Wykształcenie zasadnicze zawodowe i poniżej</c:v>
          </c:tx>
          <c:val>
            <c:numRef>
              <c:f>Zbiorczy!$O$9:$P$9</c:f>
              <c:numCache>
                <c:formatCode>0%</c:formatCode>
                <c:ptCount val="2"/>
                <c:pt idx="0">
                  <c:v>0.26606683804627251</c:v>
                </c:pt>
                <c:pt idx="1">
                  <c:v>0.73393316195372749</c:v>
                </c:pt>
              </c:numCache>
            </c:numRef>
          </c:val>
        </c:ser>
        <c:ser>
          <c:idx val="10"/>
          <c:order val="6"/>
          <c:val>
            <c:numLit>
              <c:formatCode>General</c:formatCode>
              <c:ptCount val="1"/>
              <c:pt idx="0">
                <c:v>0</c:v>
              </c:pt>
            </c:numLit>
          </c:val>
        </c:ser>
        <c:ser>
          <c:idx val="5"/>
          <c:order val="7"/>
          <c:tx>
            <c:v>Wiek: 18-29</c:v>
          </c:tx>
          <c:val>
            <c:numRef>
              <c:f>Zbiorczy!$R$9:$S$9</c:f>
              <c:numCache>
                <c:formatCode>0%</c:formatCode>
                <c:ptCount val="2"/>
                <c:pt idx="0">
                  <c:v>0.3460410557184751</c:v>
                </c:pt>
                <c:pt idx="1">
                  <c:v>0.65395894428153178</c:v>
                </c:pt>
              </c:numCache>
            </c:numRef>
          </c:val>
        </c:ser>
        <c:ser>
          <c:idx val="6"/>
          <c:order val="8"/>
          <c:tx>
            <c:v>Wiek: 30-39</c:v>
          </c:tx>
          <c:val>
            <c:numRef>
              <c:f>Zbiorczy!$U$9:$V$9</c:f>
              <c:numCache>
                <c:formatCode>0%</c:formatCode>
                <c:ptCount val="2"/>
                <c:pt idx="0">
                  <c:v>0.52396166134185307</c:v>
                </c:pt>
                <c:pt idx="1">
                  <c:v>0.47603833865814699</c:v>
                </c:pt>
              </c:numCache>
            </c:numRef>
          </c:val>
        </c:ser>
        <c:ser>
          <c:idx val="7"/>
          <c:order val="9"/>
          <c:tx>
            <c:v>Wiek: 40-59</c:v>
          </c:tx>
          <c:val>
            <c:numRef>
              <c:f>Zbiorczy!$X$9:$Y$9</c:f>
              <c:numCache>
                <c:formatCode>0%</c:formatCode>
                <c:ptCount val="2"/>
                <c:pt idx="0">
                  <c:v>0.32093023255813929</c:v>
                </c:pt>
                <c:pt idx="1">
                  <c:v>0.67906976744186065</c:v>
                </c:pt>
              </c:numCache>
            </c:numRef>
          </c:val>
        </c:ser>
        <c:ser>
          <c:idx val="8"/>
          <c:order val="10"/>
          <c:tx>
            <c:v>Wiek: 60 i powyżej</c:v>
          </c:tx>
          <c:val>
            <c:numRef>
              <c:f>Zbiorczy!$AA$9:$AB$9</c:f>
              <c:numCache>
                <c:formatCode>0%</c:formatCode>
                <c:ptCount val="2"/>
                <c:pt idx="0">
                  <c:v>0.39222614840989728</c:v>
                </c:pt>
                <c:pt idx="1">
                  <c:v>0.60777385159011799</c:v>
                </c:pt>
              </c:numCache>
            </c:numRef>
          </c:val>
        </c:ser>
        <c:gapWidth val="136"/>
        <c:overlap val="-15"/>
        <c:axId val="196957696"/>
        <c:axId val="196959232"/>
      </c:barChart>
      <c:catAx>
        <c:axId val="196957696"/>
        <c:scaling>
          <c:orientation val="minMax"/>
        </c:scaling>
        <c:axPos val="b"/>
        <c:majorGridlines/>
        <c:tickLblPos val="nextTo"/>
        <c:crossAx val="196959232"/>
        <c:crosses val="autoZero"/>
        <c:auto val="1"/>
        <c:lblAlgn val="ctr"/>
        <c:lblOffset val="100"/>
      </c:catAx>
      <c:valAx>
        <c:axId val="196959232"/>
        <c:scaling>
          <c:orientation val="minMax"/>
        </c:scaling>
        <c:axPos val="l"/>
        <c:numFmt formatCode="0%" sourceLinked="1"/>
        <c:tickLblPos val="nextTo"/>
        <c:txPr>
          <a:bodyPr/>
          <a:lstStyle/>
          <a:p>
            <a:pPr>
              <a:defRPr sz="800"/>
            </a:pPr>
            <a:endParaRPr lang="pl-PL"/>
          </a:p>
        </c:txPr>
        <c:crossAx val="19695769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3.6170455633593203E-2"/>
          <c:y val="0.70975157143469658"/>
          <c:w val="0.94289192123522703"/>
          <c:h val="0.26432154238433442"/>
        </c:manualLayout>
      </c:layout>
      <c:txPr>
        <a:bodyPr/>
        <a:lstStyle/>
        <a:p>
          <a:pPr>
            <a:defRPr sz="800"/>
          </a:pPr>
          <a:endParaRPr lang="pl-PL"/>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Zbiorczy!$E$9</c:f>
              <c:numCache>
                <c:formatCode>General</c:formatCode>
                <c:ptCount val="1"/>
                <c:pt idx="0">
                  <c:v>3.1829787234042537</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Zbiorczy!$H$9</c:f>
              <c:numCache>
                <c:formatCode>General</c:formatCode>
                <c:ptCount val="1"/>
                <c:pt idx="0">
                  <c:v>2.4982935153583608</c:v>
                </c:pt>
              </c:numCache>
            </c:numRef>
          </c:val>
        </c:ser>
        <c:ser>
          <c:idx val="9"/>
          <c:order val="2"/>
          <c:val>
            <c:numLit>
              <c:formatCode>General</c:formatCode>
              <c:ptCount val="1"/>
              <c:pt idx="0">
                <c:v>0</c:v>
              </c:pt>
            </c:numLit>
          </c:val>
        </c:ser>
        <c:ser>
          <c:idx val="2"/>
          <c:order val="3"/>
          <c:tx>
            <c:v>Wykształcenie wyższe</c:v>
          </c:tx>
          <c:val>
            <c:numRef>
              <c:f>Zbiorczy!$K$9</c:f>
              <c:numCache>
                <c:formatCode>General</c:formatCode>
                <c:ptCount val="1"/>
                <c:pt idx="0">
                  <c:v>3.0735294117647061</c:v>
                </c:pt>
              </c:numCache>
            </c:numRef>
          </c:val>
        </c:ser>
        <c:ser>
          <c:idx val="3"/>
          <c:order val="4"/>
          <c:tx>
            <c:v>Wykształcenie średnie i policealne</c:v>
          </c:tx>
          <c:val>
            <c:numRef>
              <c:f>Zbiorczy!$N$9</c:f>
              <c:numCache>
                <c:formatCode>General</c:formatCode>
                <c:ptCount val="1"/>
                <c:pt idx="0">
                  <c:v>2.9597701149425277</c:v>
                </c:pt>
              </c:numCache>
            </c:numRef>
          </c:val>
        </c:ser>
        <c:ser>
          <c:idx val="4"/>
          <c:order val="5"/>
          <c:tx>
            <c:v>Wykształcenie zasadnicze zawodowe i poniżej</c:v>
          </c:tx>
          <c:val>
            <c:numRef>
              <c:f>Zbiorczy!$Q$9</c:f>
              <c:numCache>
                <c:formatCode>General</c:formatCode>
                <c:ptCount val="1"/>
                <c:pt idx="0">
                  <c:v>2.6456140350877191</c:v>
                </c:pt>
              </c:numCache>
            </c:numRef>
          </c:val>
        </c:ser>
        <c:ser>
          <c:idx val="10"/>
          <c:order val="6"/>
          <c:val>
            <c:numLit>
              <c:formatCode>General</c:formatCode>
              <c:ptCount val="1"/>
              <c:pt idx="0">
                <c:v>0</c:v>
              </c:pt>
            </c:numLit>
          </c:val>
        </c:ser>
        <c:ser>
          <c:idx val="5"/>
          <c:order val="7"/>
          <c:tx>
            <c:v>Wiek: 18-29</c:v>
          </c:tx>
          <c:val>
            <c:numRef>
              <c:f>Zbiorczy!$T$9</c:f>
              <c:numCache>
                <c:formatCode>General</c:formatCode>
                <c:ptCount val="1"/>
                <c:pt idx="0">
                  <c:v>3.16</c:v>
                </c:pt>
              </c:numCache>
            </c:numRef>
          </c:val>
        </c:ser>
        <c:ser>
          <c:idx val="6"/>
          <c:order val="8"/>
          <c:tx>
            <c:v>Wiek: 30-39</c:v>
          </c:tx>
          <c:val>
            <c:numRef>
              <c:f>Zbiorczy!$W$9</c:f>
              <c:numCache>
                <c:formatCode>General</c:formatCode>
                <c:ptCount val="1"/>
                <c:pt idx="0">
                  <c:v>2.9375</c:v>
                </c:pt>
              </c:numCache>
            </c:numRef>
          </c:val>
        </c:ser>
        <c:ser>
          <c:idx val="7"/>
          <c:order val="9"/>
          <c:tx>
            <c:v>Wiek: 40-59</c:v>
          </c:tx>
          <c:val>
            <c:numRef>
              <c:f>Zbiorczy!$Z$9</c:f>
              <c:numCache>
                <c:formatCode>General</c:formatCode>
                <c:ptCount val="1"/>
                <c:pt idx="0">
                  <c:v>2.8598130841121367</c:v>
                </c:pt>
              </c:numCache>
            </c:numRef>
          </c:val>
        </c:ser>
        <c:ser>
          <c:idx val="8"/>
          <c:order val="10"/>
          <c:tx>
            <c:v>Wiek: 60 i powyżej</c:v>
          </c:tx>
          <c:val>
            <c:numRef>
              <c:f>Zbiorczy!$AC$9</c:f>
              <c:numCache>
                <c:formatCode>General</c:formatCode>
                <c:ptCount val="1"/>
                <c:pt idx="0">
                  <c:v>2.2931034482758652</c:v>
                </c:pt>
              </c:numCache>
            </c:numRef>
          </c:val>
        </c:ser>
        <c:axId val="197108480"/>
        <c:axId val="197110016"/>
      </c:barChart>
      <c:catAx>
        <c:axId val="197108480"/>
        <c:scaling>
          <c:orientation val="minMax"/>
        </c:scaling>
        <c:delete val="1"/>
        <c:axPos val="b"/>
        <c:tickLblPos val="none"/>
        <c:crossAx val="197110016"/>
        <c:crosses val="autoZero"/>
        <c:auto val="1"/>
        <c:lblAlgn val="ctr"/>
        <c:lblOffset val="100"/>
      </c:catAx>
      <c:valAx>
        <c:axId val="197110016"/>
        <c:scaling>
          <c:orientation val="minMax"/>
        </c:scaling>
        <c:axPos val="l"/>
        <c:numFmt formatCode="General" sourceLinked="1"/>
        <c:tickLblPos val="nextTo"/>
        <c:txPr>
          <a:bodyPr/>
          <a:lstStyle/>
          <a:p>
            <a:pPr>
              <a:defRPr sz="800"/>
            </a:pPr>
            <a:endParaRPr lang="pl-PL"/>
          </a:p>
        </c:txPr>
        <c:crossAx val="19710848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3.6460271635692633E-2"/>
          <c:y val="0.70768650341246553"/>
          <c:w val="0.93226755384489068"/>
          <c:h val="0.26620214503724982"/>
        </c:manualLayout>
      </c:layout>
      <c:txPr>
        <a:bodyPr/>
        <a:lstStyle/>
        <a:p>
          <a:pPr>
            <a:defRPr sz="800"/>
          </a:pPr>
          <a:endParaRPr lang="pl-PL"/>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7766519786634865E-2"/>
          <c:y val="4.8582280717251132E-2"/>
          <c:w val="0.87349652986410942"/>
          <c:h val="0.59522057468282408"/>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Zbiorczy!$C$20:$D$20</c:f>
              <c:numCache>
                <c:formatCode>0%</c:formatCode>
                <c:ptCount val="2"/>
                <c:pt idx="0">
                  <c:v>0.10126582278481158</c:v>
                </c:pt>
                <c:pt idx="1">
                  <c:v>0.89873417721519588</c:v>
                </c:pt>
              </c:numCache>
            </c:numRef>
          </c:val>
        </c:ser>
        <c:ser>
          <c:idx val="1"/>
          <c:order val="1"/>
          <c:tx>
            <c:v>Kobiety</c:v>
          </c:tx>
          <c:dLbls>
            <c:txPr>
              <a:bodyPr rot="-5400000" vert="horz"/>
              <a:lstStyle/>
              <a:p>
                <a:pPr>
                  <a:defRPr sz="900"/>
                </a:pPr>
                <a:endParaRPr lang="pl-PL"/>
              </a:p>
            </c:txPr>
            <c:showSerName val="1"/>
          </c:dLbls>
          <c:val>
            <c:numRef>
              <c:f>Zbiorczy!$F$20:$G$20</c:f>
              <c:numCache>
                <c:formatCode>0%</c:formatCode>
                <c:ptCount val="2"/>
                <c:pt idx="0">
                  <c:v>9.3487394957983208E-2</c:v>
                </c:pt>
                <c:pt idx="1">
                  <c:v>0.90651260504200815</c:v>
                </c:pt>
              </c:numCache>
            </c:numRef>
          </c:val>
        </c:ser>
        <c:ser>
          <c:idx val="9"/>
          <c:order val="2"/>
          <c:val>
            <c:numLit>
              <c:formatCode>General</c:formatCode>
              <c:ptCount val="1"/>
              <c:pt idx="0">
                <c:v>0</c:v>
              </c:pt>
            </c:numLit>
          </c:val>
        </c:ser>
        <c:ser>
          <c:idx val="2"/>
          <c:order val="3"/>
          <c:tx>
            <c:v>Wykształcenie wyższe</c:v>
          </c:tx>
          <c:val>
            <c:numRef>
              <c:f>Zbiorczy!$I$20:$J$20</c:f>
              <c:numCache>
                <c:formatCode>0%</c:formatCode>
                <c:ptCount val="2"/>
                <c:pt idx="0">
                  <c:v>0.25680933852140075</c:v>
                </c:pt>
                <c:pt idx="1">
                  <c:v>0.74319066147860646</c:v>
                </c:pt>
              </c:numCache>
            </c:numRef>
          </c:val>
        </c:ser>
        <c:ser>
          <c:idx val="3"/>
          <c:order val="4"/>
          <c:tx>
            <c:v>Wykształcenie średnie i policealne</c:v>
          </c:tx>
          <c:val>
            <c:numRef>
              <c:f>Zbiorczy!$L$20:$M$20</c:f>
              <c:numCache>
                <c:formatCode>0%</c:formatCode>
                <c:ptCount val="2"/>
                <c:pt idx="0">
                  <c:v>0.10154905335628318</c:v>
                </c:pt>
                <c:pt idx="1">
                  <c:v>0.89845094664371772</c:v>
                </c:pt>
              </c:numCache>
            </c:numRef>
          </c:val>
        </c:ser>
        <c:ser>
          <c:idx val="4"/>
          <c:order val="5"/>
          <c:tx>
            <c:v>Wykształcenie zasadnicze zawodowe i poniżej</c:v>
          </c:tx>
          <c:val>
            <c:numRef>
              <c:f>Zbiorczy!$O$20:$P$20</c:f>
              <c:numCache>
                <c:formatCode>0%</c:formatCode>
                <c:ptCount val="2"/>
                <c:pt idx="0">
                  <c:v>4.8888888888888891E-2</c:v>
                </c:pt>
                <c:pt idx="1">
                  <c:v>0.95111111111111113</c:v>
                </c:pt>
              </c:numCache>
            </c:numRef>
          </c:val>
        </c:ser>
        <c:ser>
          <c:idx val="10"/>
          <c:order val="6"/>
          <c:val>
            <c:numLit>
              <c:formatCode>General</c:formatCode>
              <c:ptCount val="1"/>
              <c:pt idx="0">
                <c:v>0</c:v>
              </c:pt>
            </c:numLit>
          </c:val>
        </c:ser>
        <c:ser>
          <c:idx val="5"/>
          <c:order val="7"/>
          <c:tx>
            <c:v>Wiek: 18-29</c:v>
          </c:tx>
          <c:val>
            <c:numRef>
              <c:f>Zbiorczy!$R$20:$S$20</c:f>
              <c:numCache>
                <c:formatCode>0%</c:formatCode>
                <c:ptCount val="2"/>
                <c:pt idx="0">
                  <c:v>9.0439276485788117E-2</c:v>
                </c:pt>
                <c:pt idx="1">
                  <c:v>0.90956072351421158</c:v>
                </c:pt>
              </c:numCache>
            </c:numRef>
          </c:val>
        </c:ser>
        <c:ser>
          <c:idx val="6"/>
          <c:order val="8"/>
          <c:tx>
            <c:v>Wiek: 30-39</c:v>
          </c:tx>
          <c:val>
            <c:numRef>
              <c:f>Zbiorczy!$U$20:$V$20</c:f>
              <c:numCache>
                <c:formatCode>0%</c:formatCode>
                <c:ptCount val="2"/>
                <c:pt idx="0">
                  <c:v>0.13071895424836621</c:v>
                </c:pt>
                <c:pt idx="1">
                  <c:v>0.86928104575163356</c:v>
                </c:pt>
              </c:numCache>
            </c:numRef>
          </c:val>
        </c:ser>
        <c:ser>
          <c:idx val="7"/>
          <c:order val="9"/>
          <c:tx>
            <c:v>Wiek: 40-59</c:v>
          </c:tx>
          <c:val>
            <c:numRef>
              <c:f>Zbiorczy!$X$20:$Y$20</c:f>
              <c:numCache>
                <c:formatCode>0%</c:formatCode>
                <c:ptCount val="2"/>
                <c:pt idx="0">
                  <c:v>0.11707988980716159</c:v>
                </c:pt>
                <c:pt idx="1">
                  <c:v>0.88292011019283745</c:v>
                </c:pt>
              </c:numCache>
            </c:numRef>
          </c:val>
        </c:ser>
        <c:ser>
          <c:idx val="8"/>
          <c:order val="10"/>
          <c:tx>
            <c:v>Wiek: 60 i powyżej</c:v>
          </c:tx>
          <c:val>
            <c:numRef>
              <c:f>Zbiorczy!$AA$20:$AB$20</c:f>
              <c:numCache>
                <c:formatCode>0%</c:formatCode>
                <c:ptCount val="2"/>
                <c:pt idx="0">
                  <c:v>2.8571428571428591E-2</c:v>
                </c:pt>
                <c:pt idx="1">
                  <c:v>0.97142857142858186</c:v>
                </c:pt>
              </c:numCache>
            </c:numRef>
          </c:val>
        </c:ser>
        <c:gapWidth val="136"/>
        <c:overlap val="-15"/>
        <c:axId val="197234688"/>
        <c:axId val="197236224"/>
      </c:barChart>
      <c:catAx>
        <c:axId val="197234688"/>
        <c:scaling>
          <c:orientation val="minMax"/>
        </c:scaling>
        <c:axPos val="b"/>
        <c:majorGridlines/>
        <c:tickLblPos val="nextTo"/>
        <c:crossAx val="197236224"/>
        <c:crosses val="autoZero"/>
        <c:auto val="1"/>
        <c:lblAlgn val="ctr"/>
        <c:lblOffset val="100"/>
      </c:catAx>
      <c:valAx>
        <c:axId val="197236224"/>
        <c:scaling>
          <c:orientation val="minMax"/>
        </c:scaling>
        <c:axPos val="l"/>
        <c:numFmt formatCode="0%" sourceLinked="1"/>
        <c:tickLblPos val="nextTo"/>
        <c:txPr>
          <a:bodyPr/>
          <a:lstStyle/>
          <a:p>
            <a:pPr>
              <a:defRPr sz="800"/>
            </a:pPr>
            <a:endParaRPr lang="pl-PL"/>
          </a:p>
        </c:txPr>
        <c:crossAx val="19723468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1.4884794039170703E-2"/>
          <c:y val="0.73425805433008351"/>
          <c:w val="0.9728426562486836"/>
          <c:h val="0.23924251982414396"/>
        </c:manualLayout>
      </c:layout>
      <c:txPr>
        <a:bodyPr/>
        <a:lstStyle/>
        <a:p>
          <a:pPr>
            <a:defRPr sz="800"/>
          </a:pPr>
          <a:endParaRPr lang="pl-PL"/>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8.5147356580427727E-2"/>
          <c:y val="5.8096943057718752E-2"/>
          <c:w val="0.88764175906583165"/>
          <c:h val="0.83153307315328662"/>
        </c:manualLayout>
      </c:layout>
      <c:barChart>
        <c:barDir val="col"/>
        <c:grouping val="clustered"/>
        <c:ser>
          <c:idx val="0"/>
          <c:order val="0"/>
          <c:tx>
            <c:strRef>
              <c:f>'Dane wg podgr. cech'!$C$8</c:f>
              <c:strCache>
                <c:ptCount val="1"/>
                <c:pt idx="0">
                  <c:v>2003</c:v>
                </c:pt>
              </c:strCache>
            </c:strRef>
          </c:tx>
          <c:cat>
            <c:strRef>
              <c:f>'Dane wg podgr. cech'!$C$15:$C$18</c:f>
              <c:strCache>
                <c:ptCount val="4"/>
                <c:pt idx="0">
                  <c:v>urodzenia żywe</c:v>
                </c:pt>
                <c:pt idx="1">
                  <c:v>zgony ogółem</c:v>
                </c:pt>
                <c:pt idx="2">
                  <c:v>przyrost naturalny</c:v>
                </c:pt>
                <c:pt idx="3">
                  <c:v>saldo migracji</c:v>
                </c:pt>
              </c:strCache>
            </c:strRef>
          </c:cat>
          <c:val>
            <c:numRef>
              <c:f>('Dane wg podgr. cech'!$C$10,'Dane wg podgr. cech'!$J$10,'Dane wg podgr. cech'!$Q$10,'Dane wg podgr. cech'!$X$10)</c:f>
              <c:numCache>
                <c:formatCode>#,##0</c:formatCode>
                <c:ptCount val="4"/>
                <c:pt idx="0">
                  <c:v>348</c:v>
                </c:pt>
                <c:pt idx="1">
                  <c:v>374</c:v>
                </c:pt>
                <c:pt idx="2">
                  <c:v>-26</c:v>
                </c:pt>
                <c:pt idx="3">
                  <c:v>-215</c:v>
                </c:pt>
              </c:numCache>
            </c:numRef>
          </c:val>
        </c:ser>
        <c:ser>
          <c:idx val="1"/>
          <c:order val="1"/>
          <c:tx>
            <c:strRef>
              <c:f>'Dane wg podgr. cech'!$D$8</c:f>
              <c:strCache>
                <c:ptCount val="1"/>
                <c:pt idx="0">
                  <c:v>2004</c:v>
                </c:pt>
              </c:strCache>
            </c:strRef>
          </c:tx>
          <c:val>
            <c:numRef>
              <c:f>('Dane wg podgr. cech'!$D$10,'Dane wg podgr. cech'!$K$10,'Dane wg podgr. cech'!$R$10,'Dane wg podgr. cech'!$Y$10)</c:f>
              <c:numCache>
                <c:formatCode>#,##0</c:formatCode>
                <c:ptCount val="4"/>
                <c:pt idx="0">
                  <c:v>381</c:v>
                </c:pt>
                <c:pt idx="1">
                  <c:v>392</c:v>
                </c:pt>
                <c:pt idx="2">
                  <c:v>-11</c:v>
                </c:pt>
                <c:pt idx="3">
                  <c:v>-201</c:v>
                </c:pt>
              </c:numCache>
            </c:numRef>
          </c:val>
        </c:ser>
        <c:ser>
          <c:idx val="2"/>
          <c:order val="2"/>
          <c:tx>
            <c:strRef>
              <c:f>'Dane wg podgr. cech'!$E$8</c:f>
              <c:strCache>
                <c:ptCount val="1"/>
                <c:pt idx="0">
                  <c:v>2005</c:v>
                </c:pt>
              </c:strCache>
            </c:strRef>
          </c:tx>
          <c:val>
            <c:numRef>
              <c:f>('Dane wg podgr. cech'!$E$10,'Dane wg podgr. cech'!$L$10,'Dane wg podgr. cech'!$S$10,'Dane wg podgr. cech'!$Z$10)</c:f>
              <c:numCache>
                <c:formatCode>#,##0</c:formatCode>
                <c:ptCount val="4"/>
                <c:pt idx="0">
                  <c:v>369</c:v>
                </c:pt>
                <c:pt idx="1">
                  <c:v>370</c:v>
                </c:pt>
                <c:pt idx="2">
                  <c:v>-1</c:v>
                </c:pt>
                <c:pt idx="3">
                  <c:v>-195</c:v>
                </c:pt>
              </c:numCache>
            </c:numRef>
          </c:val>
        </c:ser>
        <c:ser>
          <c:idx val="3"/>
          <c:order val="3"/>
          <c:tx>
            <c:strRef>
              <c:f>'Dane wg podgr. cech'!$F$8</c:f>
              <c:strCache>
                <c:ptCount val="1"/>
                <c:pt idx="0">
                  <c:v>2006</c:v>
                </c:pt>
              </c:strCache>
            </c:strRef>
          </c:tx>
          <c:val>
            <c:numRef>
              <c:f>('Dane wg podgr. cech'!$F$10,'Dane wg podgr. cech'!$M$10,'Dane wg podgr. cech'!$T$10,'Dane wg podgr. cech'!$AA$10)</c:f>
              <c:numCache>
                <c:formatCode>#,##0</c:formatCode>
                <c:ptCount val="4"/>
                <c:pt idx="0">
                  <c:v>419</c:v>
                </c:pt>
                <c:pt idx="1">
                  <c:v>385</c:v>
                </c:pt>
                <c:pt idx="2">
                  <c:v>34</c:v>
                </c:pt>
                <c:pt idx="3">
                  <c:v>-193</c:v>
                </c:pt>
              </c:numCache>
            </c:numRef>
          </c:val>
        </c:ser>
        <c:ser>
          <c:idx val="4"/>
          <c:order val="4"/>
          <c:tx>
            <c:strRef>
              <c:f>'Dane wg podgr. cech'!$G$8</c:f>
              <c:strCache>
                <c:ptCount val="1"/>
                <c:pt idx="0">
                  <c:v>2007</c:v>
                </c:pt>
              </c:strCache>
            </c:strRef>
          </c:tx>
          <c:val>
            <c:numRef>
              <c:f>('Dane wg podgr. cech'!$G$10,'Dane wg podgr. cech'!$N$10,'Dane wg podgr. cech'!$U$10,'Dane wg podgr. cech'!$AB$10)</c:f>
              <c:numCache>
                <c:formatCode>#,##0</c:formatCode>
                <c:ptCount val="4"/>
                <c:pt idx="0">
                  <c:v>417</c:v>
                </c:pt>
                <c:pt idx="1">
                  <c:v>387</c:v>
                </c:pt>
                <c:pt idx="2">
                  <c:v>30</c:v>
                </c:pt>
                <c:pt idx="3">
                  <c:v>-189</c:v>
                </c:pt>
              </c:numCache>
            </c:numRef>
          </c:val>
        </c:ser>
        <c:ser>
          <c:idx val="5"/>
          <c:order val="5"/>
          <c:tx>
            <c:strRef>
              <c:f>'Dane wg podgr. cech'!$H$8</c:f>
              <c:strCache>
                <c:ptCount val="1"/>
                <c:pt idx="0">
                  <c:v>2008</c:v>
                </c:pt>
              </c:strCache>
            </c:strRef>
          </c:tx>
          <c:val>
            <c:numRef>
              <c:f>('Dane wg podgr. cech'!$H$10,'Dane wg podgr. cech'!$O$10,'Dane wg podgr. cech'!$V$10,'Dane wg podgr. cech'!$AC$10)</c:f>
              <c:numCache>
                <c:formatCode>#,##0</c:formatCode>
                <c:ptCount val="4"/>
                <c:pt idx="0">
                  <c:v>410</c:v>
                </c:pt>
                <c:pt idx="1">
                  <c:v>439</c:v>
                </c:pt>
                <c:pt idx="2">
                  <c:v>-29</c:v>
                </c:pt>
                <c:pt idx="3">
                  <c:v>-189</c:v>
                </c:pt>
              </c:numCache>
            </c:numRef>
          </c:val>
        </c:ser>
        <c:ser>
          <c:idx val="6"/>
          <c:order val="6"/>
          <c:tx>
            <c:strRef>
              <c:f>'Dane wg podgr. cech'!$I$8</c:f>
              <c:strCache>
                <c:ptCount val="1"/>
                <c:pt idx="0">
                  <c:v>2009</c:v>
                </c:pt>
              </c:strCache>
            </c:strRef>
          </c:tx>
          <c:val>
            <c:numRef>
              <c:f>('Dane wg podgr. cech'!$I$10,'Dane wg podgr. cech'!$P$10,'Dane wg podgr. cech'!$W$10,'Dane wg podgr. cech'!$AD$10)</c:f>
              <c:numCache>
                <c:formatCode>#,##0</c:formatCode>
                <c:ptCount val="4"/>
                <c:pt idx="0">
                  <c:v>436</c:v>
                </c:pt>
                <c:pt idx="1">
                  <c:v>439</c:v>
                </c:pt>
                <c:pt idx="2">
                  <c:v>-3</c:v>
                </c:pt>
                <c:pt idx="3">
                  <c:v>-187</c:v>
                </c:pt>
              </c:numCache>
            </c:numRef>
          </c:val>
        </c:ser>
        <c:axId val="158374912"/>
        <c:axId val="166863616"/>
      </c:barChart>
      <c:catAx>
        <c:axId val="158374912"/>
        <c:scaling>
          <c:orientation val="minMax"/>
        </c:scaling>
        <c:axPos val="b"/>
        <c:majorTickMark val="none"/>
        <c:tickLblPos val="nextTo"/>
        <c:txPr>
          <a:bodyPr/>
          <a:lstStyle/>
          <a:p>
            <a:pPr>
              <a:defRPr b="1"/>
            </a:pPr>
            <a:endParaRPr lang="pl-PL"/>
          </a:p>
        </c:txPr>
        <c:crossAx val="166863616"/>
        <c:crosses val="autoZero"/>
        <c:auto val="1"/>
        <c:lblAlgn val="ctr"/>
        <c:lblOffset val="1000"/>
      </c:catAx>
      <c:valAx>
        <c:axId val="166863616"/>
        <c:scaling>
          <c:orientation val="minMax"/>
        </c:scaling>
        <c:axPos val="l"/>
        <c:majorGridlines/>
        <c:numFmt formatCode="#,##0" sourceLinked="1"/>
        <c:majorTickMark val="none"/>
        <c:tickLblPos val="nextTo"/>
        <c:txPr>
          <a:bodyPr/>
          <a:lstStyle/>
          <a:p>
            <a:pPr>
              <a:defRPr sz="900"/>
            </a:pPr>
            <a:endParaRPr lang="pl-PL"/>
          </a:p>
        </c:txPr>
        <c:crossAx val="158374912"/>
        <c:crosses val="autoZero"/>
        <c:crossBetween val="between"/>
      </c:valAx>
    </c:plotArea>
    <c:legend>
      <c:legendPos val="b"/>
      <c:layout>
        <c:manualLayout>
          <c:xMode val="edge"/>
          <c:yMode val="edge"/>
          <c:x val="0.18685410415716333"/>
          <c:y val="0.92133122916012578"/>
          <c:w val="0.64261118928145389"/>
          <c:h val="7.4267749802993749E-2"/>
        </c:manualLayout>
      </c:layout>
      <c:txPr>
        <a:bodyPr/>
        <a:lstStyle/>
        <a:p>
          <a:pPr>
            <a:defRPr sz="900"/>
          </a:pPr>
          <a:endParaRPr lang="pl-PL"/>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solidFill>
                      <a:schemeClr val="bg1"/>
                    </a:solidFill>
                  </a:defRPr>
                </a:pPr>
                <a:endParaRPr lang="pl-PL"/>
              </a:p>
            </c:txPr>
            <c:dLblPos val="ctr"/>
            <c:showSerName val="1"/>
          </c:dLbls>
          <c:val>
            <c:numRef>
              <c:f>Zbiorczy!$E$20</c:f>
              <c:numCache>
                <c:formatCode>General</c:formatCode>
                <c:ptCount val="1"/>
                <c:pt idx="0">
                  <c:v>3.2382978723404579</c:v>
                </c:pt>
              </c:numCache>
            </c:numRef>
          </c:val>
        </c:ser>
        <c:ser>
          <c:idx val="1"/>
          <c:order val="1"/>
          <c:tx>
            <c:v>Kobiety</c:v>
          </c:tx>
          <c:dLbls>
            <c:txPr>
              <a:bodyPr rot="-5400000" vert="horz"/>
              <a:lstStyle/>
              <a:p>
                <a:pPr>
                  <a:defRPr sz="900">
                    <a:solidFill>
                      <a:schemeClr val="bg1"/>
                    </a:solidFill>
                  </a:defRPr>
                </a:pPr>
                <a:endParaRPr lang="pl-PL"/>
              </a:p>
            </c:txPr>
            <c:dLblPos val="ctr"/>
            <c:showSerName val="1"/>
          </c:dLbls>
          <c:val>
            <c:numRef>
              <c:f>Zbiorczy!$H$20</c:f>
              <c:numCache>
                <c:formatCode>General</c:formatCode>
                <c:ptCount val="1"/>
                <c:pt idx="0">
                  <c:v>3.2226027397260273</c:v>
                </c:pt>
              </c:numCache>
            </c:numRef>
          </c:val>
        </c:ser>
        <c:ser>
          <c:idx val="9"/>
          <c:order val="2"/>
          <c:val>
            <c:numLit>
              <c:formatCode>General</c:formatCode>
              <c:ptCount val="1"/>
              <c:pt idx="0">
                <c:v>0</c:v>
              </c:pt>
            </c:numLit>
          </c:val>
        </c:ser>
        <c:ser>
          <c:idx val="2"/>
          <c:order val="3"/>
          <c:tx>
            <c:v>Wykształcenie wyższe</c:v>
          </c:tx>
          <c:val>
            <c:numRef>
              <c:f>Zbiorczy!$K$20</c:f>
              <c:numCache>
                <c:formatCode>General</c:formatCode>
                <c:ptCount val="1"/>
                <c:pt idx="0">
                  <c:v>3.4328358208955168</c:v>
                </c:pt>
              </c:numCache>
            </c:numRef>
          </c:val>
        </c:ser>
        <c:ser>
          <c:idx val="3"/>
          <c:order val="4"/>
          <c:tx>
            <c:v>Wykształcenie średnie i policealne</c:v>
          </c:tx>
          <c:val>
            <c:numRef>
              <c:f>Zbiorczy!$N$20</c:f>
              <c:numCache>
                <c:formatCode>General</c:formatCode>
                <c:ptCount val="1"/>
                <c:pt idx="0">
                  <c:v>3.2643678160920007</c:v>
                </c:pt>
              </c:numCache>
            </c:numRef>
          </c:val>
        </c:ser>
        <c:ser>
          <c:idx val="4"/>
          <c:order val="5"/>
          <c:tx>
            <c:v>Wykształcenie zasadnicze zawodowe i poniżej</c:v>
          </c:tx>
          <c:val>
            <c:numRef>
              <c:f>Zbiorczy!$Q$20</c:f>
              <c:numCache>
                <c:formatCode>General</c:formatCode>
                <c:ptCount val="1"/>
                <c:pt idx="0">
                  <c:v>3.1578947368421315</c:v>
                </c:pt>
              </c:numCache>
            </c:numRef>
          </c:val>
        </c:ser>
        <c:ser>
          <c:idx val="10"/>
          <c:order val="6"/>
          <c:val>
            <c:numLit>
              <c:formatCode>General</c:formatCode>
              <c:ptCount val="1"/>
              <c:pt idx="0">
                <c:v>0</c:v>
              </c:pt>
            </c:numLit>
          </c:val>
        </c:ser>
        <c:ser>
          <c:idx val="5"/>
          <c:order val="7"/>
          <c:tx>
            <c:v>Wiek: 18-29</c:v>
          </c:tx>
          <c:val>
            <c:numRef>
              <c:f>Zbiorczy!$T$20</c:f>
              <c:numCache>
                <c:formatCode>General</c:formatCode>
                <c:ptCount val="1"/>
                <c:pt idx="0">
                  <c:v>3.61</c:v>
                </c:pt>
              </c:numCache>
            </c:numRef>
          </c:val>
        </c:ser>
        <c:ser>
          <c:idx val="6"/>
          <c:order val="8"/>
          <c:tx>
            <c:v>Wiek: 30-39</c:v>
          </c:tx>
          <c:val>
            <c:numRef>
              <c:f>Zbiorczy!$W$20</c:f>
              <c:numCache>
                <c:formatCode>General</c:formatCode>
                <c:ptCount val="1"/>
                <c:pt idx="0">
                  <c:v>3.2736842105263539</c:v>
                </c:pt>
              </c:numCache>
            </c:numRef>
          </c:val>
        </c:ser>
        <c:ser>
          <c:idx val="7"/>
          <c:order val="9"/>
          <c:tx>
            <c:v>Wiek: 40-59</c:v>
          </c:tx>
          <c:val>
            <c:numRef>
              <c:f>Zbiorczy!$Z$20</c:f>
              <c:numCache>
                <c:formatCode>General</c:formatCode>
                <c:ptCount val="1"/>
                <c:pt idx="0">
                  <c:v>3.2897196261682238</c:v>
                </c:pt>
              </c:numCache>
            </c:numRef>
          </c:val>
        </c:ser>
        <c:ser>
          <c:idx val="8"/>
          <c:order val="10"/>
          <c:tx>
            <c:v>Wiek: 60 i powyżej</c:v>
          </c:tx>
          <c:val>
            <c:numRef>
              <c:f>Zbiorczy!$AC$20</c:f>
              <c:numCache>
                <c:formatCode>General</c:formatCode>
                <c:ptCount val="1"/>
                <c:pt idx="0">
                  <c:v>2.7413793103448274</c:v>
                </c:pt>
              </c:numCache>
            </c:numRef>
          </c:val>
        </c:ser>
        <c:axId val="166767616"/>
        <c:axId val="196989696"/>
      </c:barChart>
      <c:catAx>
        <c:axId val="166767616"/>
        <c:scaling>
          <c:orientation val="minMax"/>
        </c:scaling>
        <c:delete val="1"/>
        <c:axPos val="b"/>
        <c:tickLblPos val="none"/>
        <c:crossAx val="196989696"/>
        <c:crosses val="autoZero"/>
        <c:auto val="1"/>
        <c:lblAlgn val="ctr"/>
        <c:lblOffset val="100"/>
      </c:catAx>
      <c:valAx>
        <c:axId val="196989696"/>
        <c:scaling>
          <c:orientation val="minMax"/>
        </c:scaling>
        <c:axPos val="l"/>
        <c:numFmt formatCode="General" sourceLinked="1"/>
        <c:tickLblPos val="nextTo"/>
        <c:txPr>
          <a:bodyPr/>
          <a:lstStyle/>
          <a:p>
            <a:pPr>
              <a:defRPr sz="800"/>
            </a:pPr>
            <a:endParaRPr lang="pl-PL"/>
          </a:p>
        </c:txPr>
        <c:crossAx val="166767616"/>
        <c:crosses val="autoZero"/>
        <c:crossBetween val="between"/>
      </c:valAx>
    </c:plotArea>
    <c:legend>
      <c:legendPos val="b"/>
      <c:legendEntry>
        <c:idx val="2"/>
        <c:delete val="1"/>
      </c:legendEntry>
      <c:legendEntry>
        <c:idx val="6"/>
        <c:delete val="1"/>
      </c:legendEntry>
      <c:legendEntry>
        <c:idx val="0"/>
        <c:delete val="1"/>
      </c:legendEntry>
      <c:legendEntry>
        <c:idx val="1"/>
        <c:delete val="1"/>
      </c:legendEntry>
      <c:layout>
        <c:manualLayout>
          <c:xMode val="edge"/>
          <c:yMode val="edge"/>
          <c:x val="6.4613589301785304E-2"/>
          <c:y val="0.69773388108917211"/>
          <c:w val="0.9216187575713457"/>
          <c:h val="0.27526573410219463"/>
        </c:manualLayout>
      </c:layout>
      <c:txPr>
        <a:bodyPr/>
        <a:lstStyle/>
        <a:p>
          <a:pPr>
            <a:defRPr sz="800"/>
          </a:pPr>
          <a:endParaRPr lang="pl-PL"/>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8.8847544751569446E-2"/>
          <c:y val="5.0925925925925923E-2"/>
          <c:w val="0.88186353038259468"/>
          <c:h val="0.54791593759113499"/>
        </c:manualLayout>
      </c:layout>
      <c:barChart>
        <c:barDir val="col"/>
        <c:grouping val="clustered"/>
        <c:ser>
          <c:idx val="0"/>
          <c:order val="0"/>
          <c:tx>
            <c:v>Mężczyźni</c:v>
          </c:tx>
          <c:dLbls>
            <c:txPr>
              <a:bodyPr rot="-5400000" vert="horz"/>
              <a:lstStyle/>
              <a:p>
                <a:pPr>
                  <a:defRPr sz="800"/>
                </a:pPr>
                <a:endParaRPr lang="pl-PL"/>
              </a:p>
            </c:txPr>
            <c:showSerName val="1"/>
          </c:dLbls>
          <c:cat>
            <c:strRef>
              <c:f>Zbiorczy!$C$28:$D$28</c:f>
              <c:strCache>
                <c:ptCount val="2"/>
                <c:pt idx="0">
                  <c:v>NIE</c:v>
                </c:pt>
                <c:pt idx="1">
                  <c:v>TAK</c:v>
                </c:pt>
              </c:strCache>
            </c:strRef>
          </c:cat>
          <c:val>
            <c:numRef>
              <c:f>Zbiorczy!$C$21:$D$21</c:f>
              <c:numCache>
                <c:formatCode>0%</c:formatCode>
                <c:ptCount val="2"/>
                <c:pt idx="0">
                  <c:v>0.38014184397163131</c:v>
                </c:pt>
                <c:pt idx="1">
                  <c:v>0.61985815602838101</c:v>
                </c:pt>
              </c:numCache>
            </c:numRef>
          </c:val>
        </c:ser>
        <c:ser>
          <c:idx val="1"/>
          <c:order val="1"/>
          <c:tx>
            <c:v>Kobiety</c:v>
          </c:tx>
          <c:dLbls>
            <c:txPr>
              <a:bodyPr rot="-5400000" vert="horz"/>
              <a:lstStyle/>
              <a:p>
                <a:pPr>
                  <a:defRPr sz="800"/>
                </a:pPr>
                <a:endParaRPr lang="pl-PL"/>
              </a:p>
            </c:txPr>
            <c:showSerName val="1"/>
          </c:dLbls>
          <c:val>
            <c:numRef>
              <c:f>Zbiorczy!$F$21:$G$21</c:f>
              <c:numCache>
                <c:formatCode>0%</c:formatCode>
                <c:ptCount val="2"/>
                <c:pt idx="0">
                  <c:v>0.37982832618026419</c:v>
                </c:pt>
                <c:pt idx="1">
                  <c:v>0.62017167381975002</c:v>
                </c:pt>
              </c:numCache>
            </c:numRef>
          </c:val>
        </c:ser>
        <c:ser>
          <c:idx val="9"/>
          <c:order val="2"/>
          <c:val>
            <c:numLit>
              <c:formatCode>General</c:formatCode>
              <c:ptCount val="1"/>
              <c:pt idx="0">
                <c:v>0</c:v>
              </c:pt>
            </c:numLit>
          </c:val>
        </c:ser>
        <c:ser>
          <c:idx val="2"/>
          <c:order val="3"/>
          <c:tx>
            <c:v>Wykształcenie wyższe</c:v>
          </c:tx>
          <c:val>
            <c:numRef>
              <c:f>Zbiorczy!$I$21:$J$21</c:f>
              <c:numCache>
                <c:formatCode>0%</c:formatCode>
                <c:ptCount val="2"/>
                <c:pt idx="0">
                  <c:v>0.48022598870056532</c:v>
                </c:pt>
                <c:pt idx="1">
                  <c:v>0.51977401129944156</c:v>
                </c:pt>
              </c:numCache>
            </c:numRef>
          </c:val>
        </c:ser>
        <c:ser>
          <c:idx val="3"/>
          <c:order val="4"/>
          <c:tx>
            <c:v>Wykształcenie średnie i policealne</c:v>
          </c:tx>
          <c:val>
            <c:numRef>
              <c:f>Zbiorczy!$L$21:$M$21</c:f>
              <c:numCache>
                <c:formatCode>0%</c:formatCode>
                <c:ptCount val="2"/>
                <c:pt idx="0">
                  <c:v>0.40262582056892776</c:v>
                </c:pt>
                <c:pt idx="1">
                  <c:v>0.59737417943107218</c:v>
                </c:pt>
              </c:numCache>
            </c:numRef>
          </c:val>
        </c:ser>
        <c:ser>
          <c:idx val="4"/>
          <c:order val="5"/>
          <c:tx>
            <c:v>Wykształcenie zasadnicze zawodowe i poniżej</c:v>
          </c:tx>
          <c:val>
            <c:numRef>
              <c:f>Zbiorczy!$O$21:$P$21</c:f>
              <c:numCache>
                <c:formatCode>0%</c:formatCode>
                <c:ptCount val="2"/>
                <c:pt idx="0">
                  <c:v>0.34934934934935308</c:v>
                </c:pt>
                <c:pt idx="1">
                  <c:v>0.65065065065066108</c:v>
                </c:pt>
              </c:numCache>
            </c:numRef>
          </c:val>
        </c:ser>
        <c:ser>
          <c:idx val="10"/>
          <c:order val="6"/>
          <c:val>
            <c:numLit>
              <c:formatCode>General</c:formatCode>
              <c:ptCount val="1"/>
              <c:pt idx="0">
                <c:v>0</c:v>
              </c:pt>
            </c:numLit>
          </c:val>
        </c:ser>
        <c:ser>
          <c:idx val="5"/>
          <c:order val="7"/>
          <c:tx>
            <c:v>Wiek: 18-29</c:v>
          </c:tx>
          <c:val>
            <c:numRef>
              <c:f>Zbiorczy!$R$21:$S$21</c:f>
              <c:numCache>
                <c:formatCode>0%</c:formatCode>
                <c:ptCount val="2"/>
                <c:pt idx="0">
                  <c:v>0.30693069306931148</c:v>
                </c:pt>
                <c:pt idx="1">
                  <c:v>0.69306930693069302</c:v>
                </c:pt>
              </c:numCache>
            </c:numRef>
          </c:val>
        </c:ser>
        <c:ser>
          <c:idx val="6"/>
          <c:order val="8"/>
          <c:tx>
            <c:v>Wiek: 30-39</c:v>
          </c:tx>
          <c:val>
            <c:numRef>
              <c:f>Zbiorczy!$U$21:$V$21</c:f>
              <c:numCache>
                <c:formatCode>0%</c:formatCode>
                <c:ptCount val="2"/>
                <c:pt idx="0">
                  <c:v>0.4419475655430713</c:v>
                </c:pt>
                <c:pt idx="1">
                  <c:v>0.55805243445692887</c:v>
                </c:pt>
              </c:numCache>
            </c:numRef>
          </c:val>
        </c:ser>
        <c:ser>
          <c:idx val="7"/>
          <c:order val="9"/>
          <c:tx>
            <c:v>Wiek: 40-59</c:v>
          </c:tx>
          <c:val>
            <c:numRef>
              <c:f>Zbiorczy!$X$21:$Y$21</c:f>
              <c:numCache>
                <c:formatCode>0%</c:formatCode>
                <c:ptCount val="2"/>
                <c:pt idx="0">
                  <c:v>0.41052631578948029</c:v>
                </c:pt>
                <c:pt idx="1">
                  <c:v>0.58947368421052626</c:v>
                </c:pt>
              </c:numCache>
            </c:numRef>
          </c:val>
        </c:ser>
        <c:ser>
          <c:idx val="8"/>
          <c:order val="10"/>
          <c:tx>
            <c:v>Wiek: 60 i powyżej</c:v>
          </c:tx>
          <c:val>
            <c:numRef>
              <c:f>Zbiorczy!$AA$21:$AB$21</c:f>
              <c:numCache>
                <c:formatCode>0%</c:formatCode>
                <c:ptCount val="2"/>
                <c:pt idx="0">
                  <c:v>0.33333333333333331</c:v>
                </c:pt>
                <c:pt idx="1">
                  <c:v>0.66666666666666663</c:v>
                </c:pt>
              </c:numCache>
            </c:numRef>
          </c:val>
        </c:ser>
        <c:gapWidth val="136"/>
        <c:overlap val="-15"/>
        <c:axId val="166840576"/>
        <c:axId val="166850560"/>
      </c:barChart>
      <c:catAx>
        <c:axId val="166840576"/>
        <c:scaling>
          <c:orientation val="minMax"/>
        </c:scaling>
        <c:axPos val="b"/>
        <c:majorGridlines/>
        <c:tickLblPos val="nextTo"/>
        <c:crossAx val="166850560"/>
        <c:crosses val="autoZero"/>
        <c:auto val="1"/>
        <c:lblAlgn val="ctr"/>
        <c:lblOffset val="100"/>
      </c:catAx>
      <c:valAx>
        <c:axId val="166850560"/>
        <c:scaling>
          <c:orientation val="minMax"/>
        </c:scaling>
        <c:axPos val="l"/>
        <c:numFmt formatCode="0%" sourceLinked="1"/>
        <c:tickLblPos val="nextTo"/>
        <c:txPr>
          <a:bodyPr/>
          <a:lstStyle/>
          <a:p>
            <a:pPr>
              <a:defRPr sz="800"/>
            </a:pPr>
            <a:endParaRPr lang="pl-PL"/>
          </a:p>
        </c:txPr>
        <c:crossAx val="16684057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4.2326980648094426E-2"/>
          <c:y val="0.70975157143469658"/>
          <c:w val="0.9233427442265314"/>
          <c:h val="0.26432154238433442"/>
        </c:manualLayout>
      </c:layout>
      <c:txPr>
        <a:bodyPr/>
        <a:lstStyle/>
        <a:p>
          <a:pPr>
            <a:defRPr sz="800"/>
          </a:pPr>
          <a:endParaRPr lang="pl-PL"/>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7.5562852629656313E-2"/>
          <c:y val="5.4069493813552041E-2"/>
          <c:w val="0.89639738188474516"/>
          <c:h val="0.61576599868716064"/>
        </c:manualLayout>
      </c:layout>
      <c:barChart>
        <c:barDir val="col"/>
        <c:grouping val="clustered"/>
        <c:ser>
          <c:idx val="0"/>
          <c:order val="0"/>
          <c:tx>
            <c:v>Mężczyźni</c:v>
          </c:tx>
          <c:dLbls>
            <c:txPr>
              <a:bodyPr rot="-5400000" vert="horz"/>
              <a:lstStyle/>
              <a:p>
                <a:pPr>
                  <a:defRPr sz="900">
                    <a:solidFill>
                      <a:schemeClr val="bg1"/>
                    </a:solidFill>
                  </a:defRPr>
                </a:pPr>
                <a:endParaRPr lang="pl-PL"/>
              </a:p>
            </c:txPr>
            <c:dLblPos val="ctr"/>
            <c:showSerName val="1"/>
          </c:dLbls>
          <c:val>
            <c:numRef>
              <c:f>Zbiorczy!$E$21</c:f>
              <c:numCache>
                <c:formatCode>General</c:formatCode>
                <c:ptCount val="1"/>
                <c:pt idx="0">
                  <c:v>2.9743589743589727</c:v>
                </c:pt>
              </c:numCache>
            </c:numRef>
          </c:val>
        </c:ser>
        <c:ser>
          <c:idx val="1"/>
          <c:order val="1"/>
          <c:tx>
            <c:v>Kobiety</c:v>
          </c:tx>
          <c:dLbls>
            <c:txPr>
              <a:bodyPr rot="-5400000" vert="horz"/>
              <a:lstStyle/>
              <a:p>
                <a:pPr>
                  <a:defRPr sz="900">
                    <a:solidFill>
                      <a:schemeClr val="bg1"/>
                    </a:solidFill>
                  </a:defRPr>
                </a:pPr>
                <a:endParaRPr lang="pl-PL"/>
              </a:p>
            </c:txPr>
            <c:dLblPos val="ctr"/>
            <c:showSerName val="1"/>
          </c:dLbls>
          <c:val>
            <c:numRef>
              <c:f>Zbiorczy!$H$21</c:f>
              <c:numCache>
                <c:formatCode>General</c:formatCode>
                <c:ptCount val="1"/>
                <c:pt idx="0">
                  <c:v>3.0924657534246567</c:v>
                </c:pt>
              </c:numCache>
            </c:numRef>
          </c:val>
        </c:ser>
        <c:ser>
          <c:idx val="9"/>
          <c:order val="2"/>
          <c:val>
            <c:numLit>
              <c:formatCode>General</c:formatCode>
              <c:ptCount val="1"/>
              <c:pt idx="0">
                <c:v>0</c:v>
              </c:pt>
            </c:numLit>
          </c:val>
        </c:ser>
        <c:ser>
          <c:idx val="2"/>
          <c:order val="3"/>
          <c:tx>
            <c:v>Wykształcenie wyższe</c:v>
          </c:tx>
          <c:val>
            <c:numRef>
              <c:f>Zbiorczy!$K$21</c:f>
              <c:numCache>
                <c:formatCode>General</c:formatCode>
                <c:ptCount val="1"/>
                <c:pt idx="0">
                  <c:v>2.7272727272727542</c:v>
                </c:pt>
              </c:numCache>
            </c:numRef>
          </c:val>
        </c:ser>
        <c:ser>
          <c:idx val="3"/>
          <c:order val="4"/>
          <c:tx>
            <c:v>Wykształcenie średnie i policealne</c:v>
          </c:tx>
          <c:val>
            <c:numRef>
              <c:f>Zbiorczy!$N$21</c:f>
              <c:numCache>
                <c:formatCode>General</c:formatCode>
                <c:ptCount val="1"/>
                <c:pt idx="0">
                  <c:v>2.7298850574712645</c:v>
                </c:pt>
              </c:numCache>
            </c:numRef>
          </c:val>
        </c:ser>
        <c:ser>
          <c:idx val="4"/>
          <c:order val="5"/>
          <c:tx>
            <c:v>Wykształcenie zasadnicze zawodowe i poniżej</c:v>
          </c:tx>
          <c:val>
            <c:numRef>
              <c:f>Zbiorczy!$Q$21</c:f>
              <c:numCache>
                <c:formatCode>General</c:formatCode>
                <c:ptCount val="1"/>
                <c:pt idx="0">
                  <c:v>3.2982456140350767</c:v>
                </c:pt>
              </c:numCache>
            </c:numRef>
          </c:val>
        </c:ser>
        <c:ser>
          <c:idx val="10"/>
          <c:order val="6"/>
          <c:val>
            <c:numLit>
              <c:formatCode>General</c:formatCode>
              <c:ptCount val="1"/>
              <c:pt idx="0">
                <c:v>0</c:v>
              </c:pt>
            </c:numLit>
          </c:val>
        </c:ser>
        <c:ser>
          <c:idx val="5"/>
          <c:order val="7"/>
          <c:tx>
            <c:v>Wiek: 18-29</c:v>
          </c:tx>
          <c:val>
            <c:numRef>
              <c:f>Zbiorczy!$T$21</c:f>
              <c:numCache>
                <c:formatCode>General</c:formatCode>
                <c:ptCount val="1"/>
                <c:pt idx="0">
                  <c:v>3.09</c:v>
                </c:pt>
              </c:numCache>
            </c:numRef>
          </c:val>
        </c:ser>
        <c:ser>
          <c:idx val="6"/>
          <c:order val="8"/>
          <c:tx>
            <c:v>Wiek: 30-39</c:v>
          </c:tx>
          <c:val>
            <c:numRef>
              <c:f>Zbiorczy!$W$21</c:f>
              <c:numCache>
                <c:formatCode>General</c:formatCode>
                <c:ptCount val="1"/>
                <c:pt idx="0">
                  <c:v>3.0425531914893607</c:v>
                </c:pt>
              </c:numCache>
            </c:numRef>
          </c:val>
        </c:ser>
        <c:ser>
          <c:idx val="7"/>
          <c:order val="9"/>
          <c:tx>
            <c:v>Wiek: 40-59</c:v>
          </c:tx>
          <c:val>
            <c:numRef>
              <c:f>Zbiorczy!$Z$21</c:f>
              <c:numCache>
                <c:formatCode>General</c:formatCode>
                <c:ptCount val="1"/>
                <c:pt idx="0">
                  <c:v>3.0327102803738177</c:v>
                </c:pt>
              </c:numCache>
            </c:numRef>
          </c:val>
        </c:ser>
        <c:ser>
          <c:idx val="8"/>
          <c:order val="10"/>
          <c:tx>
            <c:v>Wiek: 60 i powyżej</c:v>
          </c:tx>
          <c:val>
            <c:numRef>
              <c:f>Zbiorczy!$AC$21</c:f>
              <c:numCache>
                <c:formatCode>General</c:formatCode>
                <c:ptCount val="1"/>
                <c:pt idx="0">
                  <c:v>3.0172413793103448</c:v>
                </c:pt>
              </c:numCache>
            </c:numRef>
          </c:val>
        </c:ser>
        <c:axId val="167114240"/>
        <c:axId val="167115776"/>
      </c:barChart>
      <c:catAx>
        <c:axId val="167114240"/>
        <c:scaling>
          <c:orientation val="minMax"/>
        </c:scaling>
        <c:delete val="1"/>
        <c:axPos val="b"/>
        <c:tickLblPos val="none"/>
        <c:crossAx val="167115776"/>
        <c:crosses val="autoZero"/>
        <c:auto val="1"/>
        <c:lblAlgn val="ctr"/>
        <c:lblOffset val="100"/>
      </c:catAx>
      <c:valAx>
        <c:axId val="167115776"/>
        <c:scaling>
          <c:orientation val="minMax"/>
        </c:scaling>
        <c:axPos val="l"/>
        <c:numFmt formatCode="General" sourceLinked="1"/>
        <c:tickLblPos val="nextTo"/>
        <c:txPr>
          <a:bodyPr/>
          <a:lstStyle/>
          <a:p>
            <a:pPr>
              <a:defRPr sz="800"/>
            </a:pPr>
            <a:endParaRPr lang="pl-PL"/>
          </a:p>
        </c:txPr>
        <c:crossAx val="16711424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4.7010960057344606E-2"/>
          <c:y val="0.70548826527564867"/>
          <c:w val="0.90342860847759021"/>
          <c:h val="0.26820402217995648"/>
        </c:manualLayout>
      </c:layout>
      <c:txPr>
        <a:bodyPr/>
        <a:lstStyle/>
        <a:p>
          <a:pPr>
            <a:defRPr sz="800"/>
          </a:pPr>
          <a:endParaRPr lang="pl-PL"/>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8.4879857066055664E-2"/>
          <c:y val="5.4284563998472292E-2"/>
          <c:w val="0.60182128968324244"/>
          <c:h val="0.82543634698289958"/>
        </c:manualLayout>
      </c:layout>
      <c:barChart>
        <c:barDir val="col"/>
        <c:grouping val="clustered"/>
        <c:ser>
          <c:idx val="0"/>
          <c:order val="0"/>
          <c:tx>
            <c:strRef>
              <c:f>odpady!$A$82</c:f>
              <c:strCache>
                <c:ptCount val="1"/>
                <c:pt idx="0">
                  <c:v>średnia dla miast o porównywalnej wielkości</c:v>
                </c:pt>
              </c:strCache>
            </c:strRef>
          </c:tx>
          <c:spPr>
            <a:noFill/>
          </c:spPr>
          <c:cat>
            <c:strRef>
              <c:f>odpady!$B$81:$F$81</c:f>
              <c:strCache>
                <c:ptCount val="5"/>
                <c:pt idx="0">
                  <c:v>2005</c:v>
                </c:pt>
                <c:pt idx="1">
                  <c:v>2006</c:v>
                </c:pt>
                <c:pt idx="2">
                  <c:v>2007</c:v>
                </c:pt>
                <c:pt idx="3">
                  <c:v>2008</c:v>
                </c:pt>
                <c:pt idx="4">
                  <c:v>2009</c:v>
                </c:pt>
              </c:strCache>
            </c:strRef>
          </c:cat>
          <c:val>
            <c:numRef>
              <c:f>odpady!$B$82:$F$82</c:f>
              <c:numCache>
                <c:formatCode>General</c:formatCode>
                <c:ptCount val="5"/>
                <c:pt idx="0">
                  <c:v>5</c:v>
                </c:pt>
              </c:numCache>
            </c:numRef>
          </c:val>
        </c:ser>
        <c:ser>
          <c:idx val="1"/>
          <c:order val="1"/>
          <c:tx>
            <c:strRef>
              <c:f>odpady!$A$83</c:f>
              <c:strCache>
                <c:ptCount val="1"/>
                <c:pt idx="0">
                  <c:v>odpady komunalne</c:v>
                </c:pt>
              </c:strCache>
            </c:strRef>
          </c:tx>
          <c:cat>
            <c:strRef>
              <c:f>odpady!$B$81:$F$81</c:f>
              <c:strCache>
                <c:ptCount val="5"/>
                <c:pt idx="0">
                  <c:v>2005</c:v>
                </c:pt>
                <c:pt idx="1">
                  <c:v>2006</c:v>
                </c:pt>
                <c:pt idx="2">
                  <c:v>2007</c:v>
                </c:pt>
                <c:pt idx="3">
                  <c:v>2008</c:v>
                </c:pt>
                <c:pt idx="4">
                  <c:v>2009</c:v>
                </c:pt>
              </c:strCache>
            </c:strRef>
          </c:cat>
          <c:val>
            <c:numRef>
              <c:f>odpady!$B$83:$F$83</c:f>
              <c:numCache>
                <c:formatCode>0.00</c:formatCode>
                <c:ptCount val="5"/>
                <c:pt idx="0">
                  <c:v>11.973603333333354</c:v>
                </c:pt>
                <c:pt idx="1">
                  <c:v>12.219047543859656</c:v>
                </c:pt>
                <c:pt idx="2">
                  <c:v>12.692781403508771</c:v>
                </c:pt>
                <c:pt idx="3">
                  <c:v>12.229712456140353</c:v>
                </c:pt>
                <c:pt idx="4">
                  <c:v>12.894240526315794</c:v>
                </c:pt>
              </c:numCache>
            </c:numRef>
          </c:val>
        </c:ser>
        <c:ser>
          <c:idx val="2"/>
          <c:order val="2"/>
          <c:tx>
            <c:strRef>
              <c:f>odpady!$A$84</c:f>
              <c:strCache>
                <c:ptCount val="1"/>
                <c:pt idx="0">
                  <c:v>odpady przemysłowe</c:v>
                </c:pt>
              </c:strCache>
            </c:strRef>
          </c:tx>
          <c:cat>
            <c:strRef>
              <c:f>odpady!$B$81:$F$81</c:f>
              <c:strCache>
                <c:ptCount val="5"/>
                <c:pt idx="0">
                  <c:v>2005</c:v>
                </c:pt>
                <c:pt idx="1">
                  <c:v>2006</c:v>
                </c:pt>
                <c:pt idx="2">
                  <c:v>2007</c:v>
                </c:pt>
                <c:pt idx="3">
                  <c:v>2008</c:v>
                </c:pt>
                <c:pt idx="4">
                  <c:v>2009</c:v>
                </c:pt>
              </c:strCache>
            </c:strRef>
          </c:cat>
          <c:val>
            <c:numRef>
              <c:f>odpady!$B$84:$F$84</c:f>
              <c:numCache>
                <c:formatCode>0.00</c:formatCode>
                <c:ptCount val="5"/>
                <c:pt idx="0">
                  <c:v>177.16296296296295</c:v>
                </c:pt>
                <c:pt idx="1">
                  <c:v>181.80185185185178</c:v>
                </c:pt>
                <c:pt idx="2">
                  <c:v>182.59074074074073</c:v>
                </c:pt>
                <c:pt idx="3">
                  <c:v>166.34629629629629</c:v>
                </c:pt>
                <c:pt idx="4">
                  <c:v>129.54074074074072</c:v>
                </c:pt>
              </c:numCache>
            </c:numRef>
          </c:val>
        </c:ser>
        <c:ser>
          <c:idx val="3"/>
          <c:order val="3"/>
          <c:tx>
            <c:strRef>
              <c:f>odpady!$A$85</c:f>
              <c:strCache>
                <c:ptCount val="1"/>
                <c:pt idx="0">
                  <c:v>Nowa Sól</c:v>
                </c:pt>
              </c:strCache>
            </c:strRef>
          </c:tx>
          <c:spPr>
            <a:noFill/>
          </c:spPr>
          <c:cat>
            <c:strRef>
              <c:f>odpady!$B$81:$F$81</c:f>
              <c:strCache>
                <c:ptCount val="5"/>
                <c:pt idx="0">
                  <c:v>2005</c:v>
                </c:pt>
                <c:pt idx="1">
                  <c:v>2006</c:v>
                </c:pt>
                <c:pt idx="2">
                  <c:v>2007</c:v>
                </c:pt>
                <c:pt idx="3">
                  <c:v>2008</c:v>
                </c:pt>
                <c:pt idx="4">
                  <c:v>2009</c:v>
                </c:pt>
              </c:strCache>
            </c:strRef>
          </c:cat>
          <c:val>
            <c:numRef>
              <c:f>odpady!$B$85:$F$85</c:f>
              <c:numCache>
                <c:formatCode>General</c:formatCode>
                <c:ptCount val="5"/>
                <c:pt idx="0">
                  <c:v>10</c:v>
                </c:pt>
              </c:numCache>
            </c:numRef>
          </c:val>
        </c:ser>
        <c:axId val="179580928"/>
        <c:axId val="179582464"/>
      </c:barChart>
      <c:lineChart>
        <c:grouping val="standard"/>
        <c:ser>
          <c:idx val="4"/>
          <c:order val="4"/>
          <c:tx>
            <c:strRef>
              <c:f>odpady!$A$86</c:f>
              <c:strCache>
                <c:ptCount val="1"/>
                <c:pt idx="0">
                  <c:v>odpady komunalne</c:v>
                </c:pt>
              </c:strCache>
            </c:strRef>
          </c:tx>
          <c:marker>
            <c:symbol val="star"/>
            <c:size val="8"/>
          </c:marker>
          <c:cat>
            <c:strRef>
              <c:f>odpady!$B$81:$F$81</c:f>
              <c:strCache>
                <c:ptCount val="5"/>
                <c:pt idx="0">
                  <c:v>2005</c:v>
                </c:pt>
                <c:pt idx="1">
                  <c:v>2006</c:v>
                </c:pt>
                <c:pt idx="2">
                  <c:v>2007</c:v>
                </c:pt>
                <c:pt idx="3">
                  <c:v>2008</c:v>
                </c:pt>
                <c:pt idx="4">
                  <c:v>2009</c:v>
                </c:pt>
              </c:strCache>
            </c:strRef>
          </c:cat>
          <c:val>
            <c:numRef>
              <c:f>odpady!$B$86:$F$86</c:f>
              <c:numCache>
                <c:formatCode>0.00</c:formatCode>
                <c:ptCount val="5"/>
                <c:pt idx="0">
                  <c:v>13.65174</c:v>
                </c:pt>
                <c:pt idx="1">
                  <c:v>14.23943</c:v>
                </c:pt>
                <c:pt idx="2">
                  <c:v>14.36801</c:v>
                </c:pt>
                <c:pt idx="3">
                  <c:v>17.422299999999471</c:v>
                </c:pt>
                <c:pt idx="4">
                  <c:v>16.362959999999987</c:v>
                </c:pt>
              </c:numCache>
            </c:numRef>
          </c:val>
        </c:ser>
        <c:ser>
          <c:idx val="5"/>
          <c:order val="5"/>
          <c:tx>
            <c:strRef>
              <c:f>odpady!$A$87</c:f>
              <c:strCache>
                <c:ptCount val="1"/>
                <c:pt idx="0">
                  <c:v>odpady przemysłowe</c:v>
                </c:pt>
              </c:strCache>
            </c:strRef>
          </c:tx>
          <c:marker>
            <c:symbol val="circle"/>
            <c:size val="8"/>
          </c:marker>
          <c:cat>
            <c:strRef>
              <c:f>odpady!$B$81:$F$81</c:f>
              <c:strCache>
                <c:ptCount val="5"/>
                <c:pt idx="0">
                  <c:v>2005</c:v>
                </c:pt>
                <c:pt idx="1">
                  <c:v>2006</c:v>
                </c:pt>
                <c:pt idx="2">
                  <c:v>2007</c:v>
                </c:pt>
                <c:pt idx="3">
                  <c:v>2008</c:v>
                </c:pt>
                <c:pt idx="4">
                  <c:v>2009</c:v>
                </c:pt>
              </c:strCache>
            </c:strRef>
          </c:cat>
          <c:val>
            <c:numRef>
              <c:f>odpady!$B$87:$F$87</c:f>
              <c:numCache>
                <c:formatCode>General</c:formatCode>
                <c:ptCount val="5"/>
                <c:pt idx="0">
                  <c:v>12.9</c:v>
                </c:pt>
                <c:pt idx="1">
                  <c:v>29.7</c:v>
                </c:pt>
                <c:pt idx="2">
                  <c:v>29.2</c:v>
                </c:pt>
                <c:pt idx="3">
                  <c:v>34.1</c:v>
                </c:pt>
                <c:pt idx="4">
                  <c:v>39.4</c:v>
                </c:pt>
              </c:numCache>
            </c:numRef>
          </c:val>
        </c:ser>
        <c:marker val="1"/>
        <c:axId val="179580928"/>
        <c:axId val="179582464"/>
      </c:lineChart>
      <c:catAx>
        <c:axId val="179580928"/>
        <c:scaling>
          <c:orientation val="minMax"/>
        </c:scaling>
        <c:axPos val="b"/>
        <c:majorTickMark val="none"/>
        <c:tickLblPos val="nextTo"/>
        <c:txPr>
          <a:bodyPr/>
          <a:lstStyle/>
          <a:p>
            <a:pPr>
              <a:defRPr sz="800"/>
            </a:pPr>
            <a:endParaRPr lang="pl-PL"/>
          </a:p>
        </c:txPr>
        <c:crossAx val="179582464"/>
        <c:crosses val="autoZero"/>
        <c:auto val="1"/>
        <c:lblAlgn val="ctr"/>
        <c:lblOffset val="100"/>
      </c:catAx>
      <c:valAx>
        <c:axId val="179582464"/>
        <c:scaling>
          <c:orientation val="minMax"/>
        </c:scaling>
        <c:axPos val="l"/>
        <c:majorGridlines/>
        <c:title>
          <c:tx>
            <c:rich>
              <a:bodyPr/>
              <a:lstStyle/>
              <a:p>
                <a:pPr>
                  <a:defRPr/>
                </a:pPr>
                <a:r>
                  <a:rPr lang="pl-PL" sz="900"/>
                  <a:t>%</a:t>
                </a:r>
              </a:p>
            </c:rich>
          </c:tx>
        </c:title>
        <c:numFmt formatCode="General" sourceLinked="1"/>
        <c:tickLblPos val="nextTo"/>
        <c:txPr>
          <a:bodyPr/>
          <a:lstStyle/>
          <a:p>
            <a:pPr>
              <a:defRPr sz="800"/>
            </a:pPr>
            <a:endParaRPr lang="pl-PL"/>
          </a:p>
        </c:txPr>
        <c:crossAx val="179580928"/>
        <c:crosses val="autoZero"/>
        <c:crossBetween val="between"/>
      </c:valAx>
    </c:plotArea>
    <c:legend>
      <c:legendPos val="r"/>
      <c:txPr>
        <a:bodyPr/>
        <a:lstStyle/>
        <a:p>
          <a:pPr>
            <a:defRPr sz="800"/>
          </a:pPr>
          <a:endParaRPr lang="pl-PL"/>
        </a:p>
      </c:txPr>
    </c:legend>
    <c:plotVisOnly val="1"/>
    <c:dispBlanksAs val="gap"/>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1895126596351545E-2"/>
          <c:y val="4.8763103120524474E-2"/>
          <c:w val="0.88109378474269795"/>
          <c:h val="0.58041496458304698"/>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Zbiorczy!$C$14:$D$14</c:f>
              <c:numCache>
                <c:formatCode>0%</c:formatCode>
                <c:ptCount val="2"/>
                <c:pt idx="0">
                  <c:v>0.19449901768173045</c:v>
                </c:pt>
                <c:pt idx="1">
                  <c:v>0.80550098231827161</c:v>
                </c:pt>
              </c:numCache>
            </c:numRef>
          </c:val>
        </c:ser>
        <c:ser>
          <c:idx val="1"/>
          <c:order val="1"/>
          <c:tx>
            <c:v>Kobiety</c:v>
          </c:tx>
          <c:dLbls>
            <c:txPr>
              <a:bodyPr rot="-5400000" vert="horz"/>
              <a:lstStyle/>
              <a:p>
                <a:pPr>
                  <a:defRPr sz="900"/>
                </a:pPr>
                <a:endParaRPr lang="pl-PL"/>
              </a:p>
            </c:txPr>
            <c:showSerName val="1"/>
          </c:dLbls>
          <c:val>
            <c:numRef>
              <c:f>Zbiorczy!$F$14:$G$14</c:f>
              <c:numCache>
                <c:formatCode>0%</c:formatCode>
                <c:ptCount val="2"/>
                <c:pt idx="0">
                  <c:v>0.16898317483540778</c:v>
                </c:pt>
                <c:pt idx="1">
                  <c:v>0.83101682516459463</c:v>
                </c:pt>
              </c:numCache>
            </c:numRef>
          </c:val>
        </c:ser>
        <c:ser>
          <c:idx val="9"/>
          <c:order val="2"/>
          <c:val>
            <c:numLit>
              <c:formatCode>General</c:formatCode>
              <c:ptCount val="1"/>
              <c:pt idx="0">
                <c:v>0</c:v>
              </c:pt>
            </c:numLit>
          </c:val>
        </c:ser>
        <c:ser>
          <c:idx val="2"/>
          <c:order val="3"/>
          <c:tx>
            <c:v>Wykształcenie wyższe</c:v>
          </c:tx>
          <c:val>
            <c:numRef>
              <c:f>Zbiorczy!$I$14:$J$14</c:f>
              <c:numCache>
                <c:formatCode>0%</c:formatCode>
                <c:ptCount val="2"/>
                <c:pt idx="0">
                  <c:v>0.4212454212454213</c:v>
                </c:pt>
                <c:pt idx="1">
                  <c:v>0.57875457875458625</c:v>
                </c:pt>
              </c:numCache>
            </c:numRef>
          </c:val>
        </c:ser>
        <c:ser>
          <c:idx val="3"/>
          <c:order val="4"/>
          <c:tx>
            <c:v>Wykształcenie średnie i policealne</c:v>
          </c:tx>
          <c:val>
            <c:numRef>
              <c:f>Zbiorczy!$L$14:$M$14</c:f>
              <c:numCache>
                <c:formatCode>0%</c:formatCode>
                <c:ptCount val="2"/>
                <c:pt idx="0">
                  <c:v>0.26536731634182908</c:v>
                </c:pt>
                <c:pt idx="1">
                  <c:v>0.73463268365818413</c:v>
                </c:pt>
              </c:numCache>
            </c:numRef>
          </c:val>
        </c:ser>
        <c:ser>
          <c:idx val="4"/>
          <c:order val="5"/>
          <c:tx>
            <c:v>Wykształcenie zasadnicze zawodowe i poniżej</c:v>
          </c:tx>
          <c:val>
            <c:numRef>
              <c:f>Zbiorczy!$O$14:$P$14</c:f>
              <c:numCache>
                <c:formatCode>0%</c:formatCode>
                <c:ptCount val="2"/>
                <c:pt idx="0">
                  <c:v>9.5205003474635216E-2</c:v>
                </c:pt>
                <c:pt idx="1">
                  <c:v>0.90479499652536965</c:v>
                </c:pt>
              </c:numCache>
            </c:numRef>
          </c:val>
        </c:ser>
        <c:ser>
          <c:idx val="10"/>
          <c:order val="6"/>
          <c:val>
            <c:numLit>
              <c:formatCode>General</c:formatCode>
              <c:ptCount val="1"/>
              <c:pt idx="0">
                <c:v>0</c:v>
              </c:pt>
            </c:numLit>
          </c:val>
        </c:ser>
        <c:ser>
          <c:idx val="5"/>
          <c:order val="7"/>
          <c:tx>
            <c:v>Wiek: 18-29</c:v>
          </c:tx>
          <c:val>
            <c:numRef>
              <c:f>Zbiorczy!$R$14:$S$14</c:f>
              <c:numCache>
                <c:formatCode>0%</c:formatCode>
                <c:ptCount val="2"/>
                <c:pt idx="0">
                  <c:v>0.23011363636363635</c:v>
                </c:pt>
                <c:pt idx="1">
                  <c:v>0.76988636363636354</c:v>
                </c:pt>
              </c:numCache>
            </c:numRef>
          </c:val>
        </c:ser>
        <c:ser>
          <c:idx val="6"/>
          <c:order val="8"/>
          <c:tx>
            <c:v>Wiek: 30-39</c:v>
          </c:tx>
          <c:val>
            <c:numRef>
              <c:f>Zbiorczy!$U$14:$V$14</c:f>
              <c:numCache>
                <c:formatCode>0%</c:formatCode>
                <c:ptCount val="2"/>
                <c:pt idx="0">
                  <c:v>0.25641025641025639</c:v>
                </c:pt>
                <c:pt idx="1">
                  <c:v>0.74358974358974361</c:v>
                </c:pt>
              </c:numCache>
            </c:numRef>
          </c:val>
        </c:ser>
        <c:ser>
          <c:idx val="7"/>
          <c:order val="9"/>
          <c:tx>
            <c:v>Wiek: 40-59</c:v>
          </c:tx>
          <c:val>
            <c:numRef>
              <c:f>Zbiorczy!$X$14:$Y$14</c:f>
              <c:numCache>
                <c:formatCode>0%</c:formatCode>
                <c:ptCount val="2"/>
                <c:pt idx="0">
                  <c:v>0.16490891658677095</c:v>
                </c:pt>
                <c:pt idx="1">
                  <c:v>0.83509108341323768</c:v>
                </c:pt>
              </c:numCache>
            </c:numRef>
          </c:val>
        </c:ser>
        <c:ser>
          <c:idx val="8"/>
          <c:order val="10"/>
          <c:tx>
            <c:v>Wiek: 60 i powyżej</c:v>
          </c:tx>
          <c:val>
            <c:numRef>
              <c:f>Zbiorczy!$AA$14:$AB$14</c:f>
              <c:numCache>
                <c:formatCode>0%</c:formatCode>
                <c:ptCount val="2"/>
                <c:pt idx="0">
                  <c:v>0.13672496025437203</c:v>
                </c:pt>
                <c:pt idx="1">
                  <c:v>0.86327503974562803</c:v>
                </c:pt>
              </c:numCache>
            </c:numRef>
          </c:val>
        </c:ser>
        <c:gapWidth val="136"/>
        <c:overlap val="-15"/>
        <c:axId val="179628288"/>
        <c:axId val="179646464"/>
      </c:barChart>
      <c:catAx>
        <c:axId val="179628288"/>
        <c:scaling>
          <c:orientation val="minMax"/>
        </c:scaling>
        <c:axPos val="b"/>
        <c:majorGridlines/>
        <c:tickLblPos val="nextTo"/>
        <c:crossAx val="179646464"/>
        <c:crosses val="autoZero"/>
        <c:auto val="1"/>
        <c:lblAlgn val="ctr"/>
        <c:lblOffset val="100"/>
      </c:catAx>
      <c:valAx>
        <c:axId val="179646464"/>
        <c:scaling>
          <c:orientation val="minMax"/>
        </c:scaling>
        <c:axPos val="l"/>
        <c:numFmt formatCode="0%" sourceLinked="1"/>
        <c:tickLblPos val="nextTo"/>
        <c:txPr>
          <a:bodyPr/>
          <a:lstStyle/>
          <a:p>
            <a:pPr>
              <a:defRPr sz="800"/>
            </a:pPr>
            <a:endParaRPr lang="pl-PL"/>
          </a:p>
        </c:txPr>
        <c:crossAx val="17962828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4.6475120602480685E-2"/>
          <c:y val="0.73326896743343761"/>
          <c:w val="0.93651640097061972"/>
          <c:h val="0.24013297631900352"/>
        </c:manualLayout>
      </c:layout>
      <c:txPr>
        <a:bodyPr/>
        <a:lstStyle/>
        <a:p>
          <a:pPr>
            <a:defRPr sz="800"/>
          </a:pPr>
          <a:endParaRPr lang="pl-PL"/>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Zbiorczy!$E$14</c:f>
              <c:numCache>
                <c:formatCode>General</c:formatCode>
                <c:ptCount val="1"/>
                <c:pt idx="0">
                  <c:v>3.7739130434782608</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Zbiorczy!$H$14</c:f>
              <c:numCache>
                <c:formatCode>General</c:formatCode>
                <c:ptCount val="1"/>
                <c:pt idx="0">
                  <c:v>3.8034482758620687</c:v>
                </c:pt>
              </c:numCache>
            </c:numRef>
          </c:val>
        </c:ser>
        <c:ser>
          <c:idx val="9"/>
          <c:order val="2"/>
          <c:val>
            <c:numLit>
              <c:formatCode>General</c:formatCode>
              <c:ptCount val="1"/>
              <c:pt idx="0">
                <c:v>0</c:v>
              </c:pt>
            </c:numLit>
          </c:val>
        </c:ser>
        <c:ser>
          <c:idx val="2"/>
          <c:order val="3"/>
          <c:tx>
            <c:v>Wykształcenie wyższe</c:v>
          </c:tx>
          <c:val>
            <c:numRef>
              <c:f>Zbiorczy!$K$14</c:f>
              <c:numCache>
                <c:formatCode>General</c:formatCode>
                <c:ptCount val="1"/>
                <c:pt idx="0">
                  <c:v>3.9090909090909087</c:v>
                </c:pt>
              </c:numCache>
            </c:numRef>
          </c:val>
        </c:ser>
        <c:ser>
          <c:idx val="3"/>
          <c:order val="4"/>
          <c:tx>
            <c:v>Wykształcenie średnie i policealne</c:v>
          </c:tx>
          <c:val>
            <c:numRef>
              <c:f>Zbiorczy!$N$14</c:f>
              <c:numCache>
                <c:formatCode>General</c:formatCode>
                <c:ptCount val="1"/>
                <c:pt idx="0">
                  <c:v>3.5087719298245608</c:v>
                </c:pt>
              </c:numCache>
            </c:numRef>
          </c:val>
        </c:ser>
        <c:ser>
          <c:idx val="4"/>
          <c:order val="5"/>
          <c:tx>
            <c:v>Wykształcenie zasadnicze zawodowe i poniżej</c:v>
          </c:tx>
          <c:val>
            <c:numRef>
              <c:f>Zbiorczy!$Q$14</c:f>
              <c:numCache>
                <c:formatCode>General</c:formatCode>
                <c:ptCount val="1"/>
                <c:pt idx="0">
                  <c:v>3.9361702127659592</c:v>
                </c:pt>
              </c:numCache>
            </c:numRef>
          </c:val>
        </c:ser>
        <c:ser>
          <c:idx val="10"/>
          <c:order val="6"/>
          <c:val>
            <c:numLit>
              <c:formatCode>General</c:formatCode>
              <c:ptCount val="1"/>
              <c:pt idx="0">
                <c:v>0</c:v>
              </c:pt>
            </c:numLit>
          </c:val>
        </c:ser>
        <c:ser>
          <c:idx val="5"/>
          <c:order val="7"/>
          <c:tx>
            <c:v>Wiek: 18-29</c:v>
          </c:tx>
          <c:val>
            <c:numRef>
              <c:f>Zbiorczy!$T$14</c:f>
              <c:numCache>
                <c:formatCode>General</c:formatCode>
                <c:ptCount val="1"/>
                <c:pt idx="0">
                  <c:v>3.4591836734693877</c:v>
                </c:pt>
              </c:numCache>
            </c:numRef>
          </c:val>
        </c:ser>
        <c:ser>
          <c:idx val="6"/>
          <c:order val="8"/>
          <c:tx>
            <c:v>Wiek: 30-39</c:v>
          </c:tx>
          <c:val>
            <c:numRef>
              <c:f>Zbiorczy!$W$14</c:f>
              <c:numCache>
                <c:formatCode>General</c:formatCode>
                <c:ptCount val="1"/>
                <c:pt idx="0">
                  <c:v>3.7368421052631082</c:v>
                </c:pt>
              </c:numCache>
            </c:numRef>
          </c:val>
        </c:ser>
        <c:ser>
          <c:idx val="7"/>
          <c:order val="9"/>
          <c:tx>
            <c:v>Wiek: 40-59</c:v>
          </c:tx>
          <c:val>
            <c:numRef>
              <c:f>Zbiorczy!$Z$14</c:f>
              <c:numCache>
                <c:formatCode>General</c:formatCode>
                <c:ptCount val="1"/>
                <c:pt idx="0">
                  <c:v>3.8373205741626792</c:v>
                </c:pt>
              </c:numCache>
            </c:numRef>
          </c:val>
        </c:ser>
        <c:ser>
          <c:idx val="8"/>
          <c:order val="10"/>
          <c:tx>
            <c:v>Wiek: 60 i powyżej</c:v>
          </c:tx>
          <c:val>
            <c:numRef>
              <c:f>Zbiorczy!$AC$14</c:f>
              <c:numCache>
                <c:formatCode>General</c:formatCode>
                <c:ptCount val="1"/>
                <c:pt idx="0">
                  <c:v>4.0344827586206895</c:v>
                </c:pt>
              </c:numCache>
            </c:numRef>
          </c:val>
        </c:ser>
        <c:axId val="179709440"/>
        <c:axId val="179710976"/>
      </c:barChart>
      <c:catAx>
        <c:axId val="179709440"/>
        <c:scaling>
          <c:orientation val="minMax"/>
        </c:scaling>
        <c:delete val="1"/>
        <c:axPos val="b"/>
        <c:tickLblPos val="none"/>
        <c:crossAx val="179710976"/>
        <c:crosses val="autoZero"/>
        <c:auto val="1"/>
        <c:lblAlgn val="ctr"/>
        <c:lblOffset val="100"/>
      </c:catAx>
      <c:valAx>
        <c:axId val="179710976"/>
        <c:scaling>
          <c:orientation val="minMax"/>
        </c:scaling>
        <c:axPos val="l"/>
        <c:numFmt formatCode="General" sourceLinked="1"/>
        <c:tickLblPos val="nextTo"/>
        <c:txPr>
          <a:bodyPr/>
          <a:lstStyle/>
          <a:p>
            <a:pPr>
              <a:defRPr sz="800"/>
            </a:pPr>
            <a:endParaRPr lang="pl-PL"/>
          </a:p>
        </c:txPr>
        <c:crossAx val="17970944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5.3942515904722002E-2"/>
          <c:y val="0.70438192586832249"/>
          <c:w val="0.90227032110106353"/>
          <c:h val="0.26921153612237664"/>
        </c:manualLayout>
      </c:layout>
      <c:txPr>
        <a:bodyPr/>
        <a:lstStyle/>
        <a:p>
          <a:pPr>
            <a:defRPr sz="800"/>
          </a:pPr>
          <a:endParaRPr lang="pl-PL"/>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8.3689712397061508E-2"/>
          <c:y val="4.1889222427676454E-2"/>
          <c:w val="0.55044056992875856"/>
          <c:h val="0.84864651422481818"/>
        </c:manualLayout>
      </c:layout>
      <c:barChart>
        <c:barDir val="col"/>
        <c:grouping val="stacked"/>
        <c:ser>
          <c:idx val="0"/>
          <c:order val="0"/>
          <c:tx>
            <c:strRef>
              <c:f>DATA!$A$327</c:f>
              <c:strCache>
                <c:ptCount val="1"/>
                <c:pt idx="0">
                  <c:v>Wydatki na transport i łączność</c:v>
                </c:pt>
              </c:strCache>
            </c:strRef>
          </c:tx>
          <c:cat>
            <c:strRef>
              <c:f>DATA!$B$326:$E$326</c:f>
              <c:strCache>
                <c:ptCount val="4"/>
                <c:pt idx="0">
                  <c:v>2007</c:v>
                </c:pt>
                <c:pt idx="1">
                  <c:v>2008</c:v>
                </c:pt>
                <c:pt idx="2">
                  <c:v>2009</c:v>
                </c:pt>
                <c:pt idx="3">
                  <c:v>2010</c:v>
                </c:pt>
              </c:strCache>
            </c:strRef>
          </c:cat>
          <c:val>
            <c:numRef>
              <c:f>DATA!$B$327:$E$327</c:f>
              <c:numCache>
                <c:formatCode>General</c:formatCode>
                <c:ptCount val="4"/>
                <c:pt idx="0">
                  <c:v>2832707.4899999998</c:v>
                </c:pt>
                <c:pt idx="1">
                  <c:v>2764119.75</c:v>
                </c:pt>
                <c:pt idx="2">
                  <c:v>16077383.529999983</c:v>
                </c:pt>
                <c:pt idx="3">
                  <c:v>22970436.030000001</c:v>
                </c:pt>
              </c:numCache>
            </c:numRef>
          </c:val>
        </c:ser>
        <c:ser>
          <c:idx val="1"/>
          <c:order val="1"/>
          <c:tx>
            <c:strRef>
              <c:f>DATA!$A$328</c:f>
              <c:strCache>
                <c:ptCount val="1"/>
                <c:pt idx="0">
                  <c:v>Wydatki na gospodarkę komunalną i ochronę środowiska</c:v>
                </c:pt>
              </c:strCache>
            </c:strRef>
          </c:tx>
          <c:cat>
            <c:strRef>
              <c:f>DATA!$B$326:$E$326</c:f>
              <c:strCache>
                <c:ptCount val="4"/>
                <c:pt idx="0">
                  <c:v>2007</c:v>
                </c:pt>
                <c:pt idx="1">
                  <c:v>2008</c:v>
                </c:pt>
                <c:pt idx="2">
                  <c:v>2009</c:v>
                </c:pt>
                <c:pt idx="3">
                  <c:v>2010</c:v>
                </c:pt>
              </c:strCache>
            </c:strRef>
          </c:cat>
          <c:val>
            <c:numRef>
              <c:f>DATA!$B$328:$E$328</c:f>
              <c:numCache>
                <c:formatCode>General</c:formatCode>
                <c:ptCount val="4"/>
                <c:pt idx="0">
                  <c:v>4033580.79</c:v>
                </c:pt>
                <c:pt idx="1">
                  <c:v>1619896.1500000001</c:v>
                </c:pt>
                <c:pt idx="2">
                  <c:v>813027.48</c:v>
                </c:pt>
                <c:pt idx="3">
                  <c:v>767947.69</c:v>
                </c:pt>
              </c:numCache>
            </c:numRef>
          </c:val>
        </c:ser>
        <c:ser>
          <c:idx val="2"/>
          <c:order val="2"/>
          <c:tx>
            <c:strRef>
              <c:f>DATA!$A$329</c:f>
              <c:strCache>
                <c:ptCount val="1"/>
                <c:pt idx="0">
                  <c:v>Wydatki na gospodarkę mieszkaniową</c:v>
                </c:pt>
              </c:strCache>
            </c:strRef>
          </c:tx>
          <c:cat>
            <c:strRef>
              <c:f>DATA!$B$326:$E$326</c:f>
              <c:strCache>
                <c:ptCount val="4"/>
                <c:pt idx="0">
                  <c:v>2007</c:v>
                </c:pt>
                <c:pt idx="1">
                  <c:v>2008</c:v>
                </c:pt>
                <c:pt idx="2">
                  <c:v>2009</c:v>
                </c:pt>
                <c:pt idx="3">
                  <c:v>2010</c:v>
                </c:pt>
              </c:strCache>
            </c:strRef>
          </c:cat>
          <c:val>
            <c:numRef>
              <c:f>DATA!$B$329:$E$329</c:f>
              <c:numCache>
                <c:formatCode>General</c:formatCode>
                <c:ptCount val="4"/>
                <c:pt idx="0">
                  <c:v>1046822.22</c:v>
                </c:pt>
                <c:pt idx="1">
                  <c:v>1392935.73</c:v>
                </c:pt>
                <c:pt idx="2">
                  <c:v>3115422.1</c:v>
                </c:pt>
                <c:pt idx="3">
                  <c:v>9749880.5899999831</c:v>
                </c:pt>
              </c:numCache>
            </c:numRef>
          </c:val>
        </c:ser>
        <c:ser>
          <c:idx val="3"/>
          <c:order val="3"/>
          <c:tx>
            <c:strRef>
              <c:f>DATA!$A$330</c:f>
              <c:strCache>
                <c:ptCount val="1"/>
                <c:pt idx="0">
                  <c:v>Wydatki na oświatę i wychowanie</c:v>
                </c:pt>
              </c:strCache>
            </c:strRef>
          </c:tx>
          <c:cat>
            <c:strRef>
              <c:f>DATA!$B$326:$E$326</c:f>
              <c:strCache>
                <c:ptCount val="4"/>
                <c:pt idx="0">
                  <c:v>2007</c:v>
                </c:pt>
                <c:pt idx="1">
                  <c:v>2008</c:v>
                </c:pt>
                <c:pt idx="2">
                  <c:v>2009</c:v>
                </c:pt>
                <c:pt idx="3">
                  <c:v>2010</c:v>
                </c:pt>
              </c:strCache>
            </c:strRef>
          </c:cat>
          <c:val>
            <c:numRef>
              <c:f>DATA!$B$330:$E$330</c:f>
              <c:numCache>
                <c:formatCode>General</c:formatCode>
                <c:ptCount val="4"/>
                <c:pt idx="0">
                  <c:v>1062615</c:v>
                </c:pt>
                <c:pt idx="1">
                  <c:v>997964.02</c:v>
                </c:pt>
                <c:pt idx="2">
                  <c:v>2740906.4499999997</c:v>
                </c:pt>
                <c:pt idx="3">
                  <c:v>7488315.7600000007</c:v>
                </c:pt>
              </c:numCache>
            </c:numRef>
          </c:val>
        </c:ser>
        <c:ser>
          <c:idx val="4"/>
          <c:order val="4"/>
          <c:tx>
            <c:strRef>
              <c:f>DATA!$A$331</c:f>
              <c:strCache>
                <c:ptCount val="1"/>
                <c:pt idx="0">
                  <c:v>Wydatki na kulturę i ochronę dziedzictwa narodowego</c:v>
                </c:pt>
              </c:strCache>
            </c:strRef>
          </c:tx>
          <c:cat>
            <c:strRef>
              <c:f>DATA!$B$326:$E$326</c:f>
              <c:strCache>
                <c:ptCount val="4"/>
                <c:pt idx="0">
                  <c:v>2007</c:v>
                </c:pt>
                <c:pt idx="1">
                  <c:v>2008</c:v>
                </c:pt>
                <c:pt idx="2">
                  <c:v>2009</c:v>
                </c:pt>
                <c:pt idx="3">
                  <c:v>2010</c:v>
                </c:pt>
              </c:strCache>
            </c:strRef>
          </c:cat>
          <c:val>
            <c:numRef>
              <c:f>DATA!$B$331:$E$331</c:f>
              <c:numCache>
                <c:formatCode>General</c:formatCode>
                <c:ptCount val="4"/>
                <c:pt idx="0">
                  <c:v>247000</c:v>
                </c:pt>
                <c:pt idx="1">
                  <c:v>63000</c:v>
                </c:pt>
                <c:pt idx="2">
                  <c:v>146117</c:v>
                </c:pt>
                <c:pt idx="3">
                  <c:v>117551.77</c:v>
                </c:pt>
              </c:numCache>
            </c:numRef>
          </c:val>
        </c:ser>
        <c:ser>
          <c:idx val="5"/>
          <c:order val="5"/>
          <c:tx>
            <c:strRef>
              <c:f>DATA!$A$332</c:f>
              <c:strCache>
                <c:ptCount val="1"/>
                <c:pt idx="0">
                  <c:v>Wydatki na ochronę zdrowia</c:v>
                </c:pt>
              </c:strCache>
            </c:strRef>
          </c:tx>
          <c:cat>
            <c:strRef>
              <c:f>DATA!$B$326:$E$326</c:f>
              <c:strCache>
                <c:ptCount val="4"/>
                <c:pt idx="0">
                  <c:v>2007</c:v>
                </c:pt>
                <c:pt idx="1">
                  <c:v>2008</c:v>
                </c:pt>
                <c:pt idx="2">
                  <c:v>2009</c:v>
                </c:pt>
                <c:pt idx="3">
                  <c:v>2010</c:v>
                </c:pt>
              </c:strCache>
            </c:strRef>
          </c:cat>
          <c:val>
            <c:numRef>
              <c:f>DATA!$B$332:$E$332</c:f>
              <c:numCache>
                <c:formatCode>General</c:formatCode>
                <c:ptCount val="4"/>
                <c:pt idx="0">
                  <c:v>0</c:v>
                </c:pt>
                <c:pt idx="1">
                  <c:v>0</c:v>
                </c:pt>
                <c:pt idx="2">
                  <c:v>7448.1</c:v>
                </c:pt>
                <c:pt idx="3">
                  <c:v>199077.8</c:v>
                </c:pt>
              </c:numCache>
            </c:numRef>
          </c:val>
        </c:ser>
        <c:ser>
          <c:idx val="6"/>
          <c:order val="6"/>
          <c:tx>
            <c:strRef>
              <c:f>DATA!$A$333</c:f>
              <c:strCache>
                <c:ptCount val="1"/>
                <c:pt idx="0">
                  <c:v>Wydatki na pomoc społeczną i pozostałe zadania w zakresie polityki społecznej</c:v>
                </c:pt>
              </c:strCache>
            </c:strRef>
          </c:tx>
          <c:cat>
            <c:strRef>
              <c:f>DATA!$B$326:$E$326</c:f>
              <c:strCache>
                <c:ptCount val="4"/>
                <c:pt idx="0">
                  <c:v>2007</c:v>
                </c:pt>
                <c:pt idx="1">
                  <c:v>2008</c:v>
                </c:pt>
                <c:pt idx="2">
                  <c:v>2009</c:v>
                </c:pt>
                <c:pt idx="3">
                  <c:v>2010</c:v>
                </c:pt>
              </c:strCache>
            </c:strRef>
          </c:cat>
          <c:val>
            <c:numRef>
              <c:f>DATA!$B$333:$E$333</c:f>
              <c:numCache>
                <c:formatCode>General</c:formatCode>
                <c:ptCount val="4"/>
                <c:pt idx="0">
                  <c:v>43860</c:v>
                </c:pt>
                <c:pt idx="1">
                  <c:v>70500</c:v>
                </c:pt>
                <c:pt idx="2">
                  <c:v>40911</c:v>
                </c:pt>
                <c:pt idx="3">
                  <c:v>288902.96999999997</c:v>
                </c:pt>
              </c:numCache>
            </c:numRef>
          </c:val>
        </c:ser>
        <c:ser>
          <c:idx val="7"/>
          <c:order val="7"/>
          <c:tx>
            <c:strRef>
              <c:f>DATA!$A$334</c:f>
              <c:strCache>
                <c:ptCount val="1"/>
                <c:pt idx="0">
                  <c:v>Wydatki na kulturę fizyczną i sport</c:v>
                </c:pt>
              </c:strCache>
            </c:strRef>
          </c:tx>
          <c:cat>
            <c:strRef>
              <c:f>DATA!$B$326:$E$326</c:f>
              <c:strCache>
                <c:ptCount val="4"/>
                <c:pt idx="0">
                  <c:v>2007</c:v>
                </c:pt>
                <c:pt idx="1">
                  <c:v>2008</c:v>
                </c:pt>
                <c:pt idx="2">
                  <c:v>2009</c:v>
                </c:pt>
                <c:pt idx="3">
                  <c:v>2010</c:v>
                </c:pt>
              </c:strCache>
            </c:strRef>
          </c:cat>
          <c:val>
            <c:numRef>
              <c:f>DATA!$B$334:$E$334</c:f>
              <c:numCache>
                <c:formatCode>General</c:formatCode>
                <c:ptCount val="4"/>
                <c:pt idx="0">
                  <c:v>1727334.11</c:v>
                </c:pt>
                <c:pt idx="1">
                  <c:v>2041279.11</c:v>
                </c:pt>
                <c:pt idx="2">
                  <c:v>714773.32000000041</c:v>
                </c:pt>
                <c:pt idx="3">
                  <c:v>834765.48</c:v>
                </c:pt>
              </c:numCache>
            </c:numRef>
          </c:val>
        </c:ser>
        <c:ser>
          <c:idx val="8"/>
          <c:order val="8"/>
          <c:tx>
            <c:strRef>
              <c:f>DATA!$A$335</c:f>
              <c:strCache>
                <c:ptCount val="1"/>
                <c:pt idx="0">
                  <c:v>Wydatki na administrację publiczną</c:v>
                </c:pt>
              </c:strCache>
            </c:strRef>
          </c:tx>
          <c:cat>
            <c:strRef>
              <c:f>DATA!$B$326:$E$326</c:f>
              <c:strCache>
                <c:ptCount val="4"/>
                <c:pt idx="0">
                  <c:v>2007</c:v>
                </c:pt>
                <c:pt idx="1">
                  <c:v>2008</c:v>
                </c:pt>
                <c:pt idx="2">
                  <c:v>2009</c:v>
                </c:pt>
                <c:pt idx="3">
                  <c:v>2010</c:v>
                </c:pt>
              </c:strCache>
            </c:strRef>
          </c:cat>
          <c:val>
            <c:numRef>
              <c:f>DATA!$B$335:$E$335</c:f>
              <c:numCache>
                <c:formatCode>General</c:formatCode>
                <c:ptCount val="4"/>
                <c:pt idx="0">
                  <c:v>303512.52</c:v>
                </c:pt>
                <c:pt idx="1">
                  <c:v>497939.55</c:v>
                </c:pt>
                <c:pt idx="2">
                  <c:v>1448502.6600000001</c:v>
                </c:pt>
                <c:pt idx="3">
                  <c:v>606282.38</c:v>
                </c:pt>
              </c:numCache>
            </c:numRef>
          </c:val>
        </c:ser>
        <c:ser>
          <c:idx val="9"/>
          <c:order val="9"/>
          <c:tx>
            <c:strRef>
              <c:f>DATA!$A$336</c:f>
              <c:strCache>
                <c:ptCount val="1"/>
                <c:pt idx="0">
                  <c:v>Wydatki na bezpieczeństwo publiczne i ochronę przeciwpożarową</c:v>
                </c:pt>
              </c:strCache>
            </c:strRef>
          </c:tx>
          <c:cat>
            <c:strRef>
              <c:f>DATA!$B$326:$E$326</c:f>
              <c:strCache>
                <c:ptCount val="4"/>
                <c:pt idx="0">
                  <c:v>2007</c:v>
                </c:pt>
                <c:pt idx="1">
                  <c:v>2008</c:v>
                </c:pt>
                <c:pt idx="2">
                  <c:v>2009</c:v>
                </c:pt>
                <c:pt idx="3">
                  <c:v>2010</c:v>
                </c:pt>
              </c:strCache>
            </c:strRef>
          </c:cat>
          <c:val>
            <c:numRef>
              <c:f>DATA!$B$336:$E$336</c:f>
              <c:numCache>
                <c:formatCode>General</c:formatCode>
                <c:ptCount val="4"/>
                <c:pt idx="0">
                  <c:v>184371.84</c:v>
                </c:pt>
                <c:pt idx="1">
                  <c:v>213482.37999999998</c:v>
                </c:pt>
                <c:pt idx="2">
                  <c:v>112019.7</c:v>
                </c:pt>
                <c:pt idx="3">
                  <c:v>0</c:v>
                </c:pt>
              </c:numCache>
            </c:numRef>
          </c:val>
        </c:ser>
        <c:gapWidth val="99"/>
        <c:overlap val="100"/>
        <c:axId val="179841664"/>
        <c:axId val="179855744"/>
      </c:barChart>
      <c:catAx>
        <c:axId val="179841664"/>
        <c:scaling>
          <c:orientation val="minMax"/>
        </c:scaling>
        <c:axPos val="b"/>
        <c:tickLblPos val="nextTo"/>
        <c:txPr>
          <a:bodyPr/>
          <a:lstStyle/>
          <a:p>
            <a:pPr>
              <a:defRPr sz="900"/>
            </a:pPr>
            <a:endParaRPr lang="pl-PL"/>
          </a:p>
        </c:txPr>
        <c:crossAx val="179855744"/>
        <c:crosses val="autoZero"/>
        <c:auto val="1"/>
        <c:lblAlgn val="ctr"/>
        <c:lblOffset val="100"/>
      </c:catAx>
      <c:valAx>
        <c:axId val="179855744"/>
        <c:scaling>
          <c:orientation val="minMax"/>
          <c:max val="45000000"/>
        </c:scaling>
        <c:axPos val="l"/>
        <c:majorGridlines/>
        <c:numFmt formatCode="General" sourceLinked="1"/>
        <c:tickLblPos val="nextTo"/>
        <c:txPr>
          <a:bodyPr/>
          <a:lstStyle/>
          <a:p>
            <a:pPr>
              <a:defRPr sz="800"/>
            </a:pPr>
            <a:endParaRPr lang="pl-PL"/>
          </a:p>
        </c:txPr>
        <c:crossAx val="179841664"/>
        <c:crosses val="autoZero"/>
        <c:crossBetween val="between"/>
        <c:dispUnits>
          <c:builtInUnit val="millions"/>
          <c:dispUnitsLbl>
            <c:layout>
              <c:manualLayout>
                <c:xMode val="edge"/>
                <c:yMode val="edge"/>
                <c:x val="2.9282797983585492E-3"/>
                <c:y val="0.11266301614869922"/>
              </c:manualLayout>
            </c:layout>
            <c:tx>
              <c:rich>
                <a:bodyPr/>
                <a:lstStyle/>
                <a:p>
                  <a:pPr>
                    <a:defRPr/>
                  </a:pPr>
                  <a:r>
                    <a:rPr lang="pl-PL" sz="800" b="0"/>
                    <a:t>Miliony zł</a:t>
                  </a:r>
                </a:p>
              </c:rich>
            </c:tx>
          </c:dispUnitsLbl>
        </c:dispUnits>
      </c:valAx>
    </c:plotArea>
    <c:legend>
      <c:legendPos val="r"/>
      <c:txPr>
        <a:bodyPr/>
        <a:lstStyle/>
        <a:p>
          <a:pPr>
            <a:defRPr sz="800"/>
          </a:pPr>
          <a:endParaRPr lang="pl-PL"/>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0924049034687019"/>
          <c:y val="5.7296828886499597E-2"/>
          <c:w val="0.57501606941989392"/>
          <c:h val="0.83399103387607876"/>
        </c:manualLayout>
      </c:layout>
      <c:barChart>
        <c:barDir val="col"/>
        <c:grouping val="clustered"/>
        <c:ser>
          <c:idx val="0"/>
          <c:order val="0"/>
          <c:tx>
            <c:strRef>
              <c:f>budżet!$A$68</c:f>
              <c:strCache>
                <c:ptCount val="1"/>
                <c:pt idx="0">
                  <c:v>średnia dla miast o porównywalnej wielkości</c:v>
                </c:pt>
              </c:strCache>
            </c:strRef>
          </c:tx>
          <c:spPr>
            <a:noFill/>
          </c:spPr>
          <c:cat>
            <c:strRef>
              <c:f>budżet!$B$67:$H$67</c:f>
              <c:strCache>
                <c:ptCount val="7"/>
                <c:pt idx="0">
                  <c:v>2003</c:v>
                </c:pt>
                <c:pt idx="1">
                  <c:v>2004</c:v>
                </c:pt>
                <c:pt idx="2">
                  <c:v>2005</c:v>
                </c:pt>
                <c:pt idx="3">
                  <c:v>2006</c:v>
                </c:pt>
                <c:pt idx="4">
                  <c:v>2007</c:v>
                </c:pt>
                <c:pt idx="5">
                  <c:v>2008</c:v>
                </c:pt>
                <c:pt idx="6">
                  <c:v>2009</c:v>
                </c:pt>
              </c:strCache>
            </c:strRef>
          </c:cat>
          <c:val>
            <c:numRef>
              <c:f>budżet!$B$68:$H$68</c:f>
              <c:numCache>
                <c:formatCode>General</c:formatCode>
                <c:ptCount val="7"/>
                <c:pt idx="0">
                  <c:v>300</c:v>
                </c:pt>
              </c:numCache>
            </c:numRef>
          </c:val>
        </c:ser>
        <c:ser>
          <c:idx val="1"/>
          <c:order val="1"/>
          <c:tx>
            <c:strRef>
              <c:f>budżet!$A$69</c:f>
              <c:strCache>
                <c:ptCount val="1"/>
                <c:pt idx="0">
                  <c:v>dochody na 1 mieszkańca</c:v>
                </c:pt>
              </c:strCache>
            </c:strRef>
          </c:tx>
          <c:cat>
            <c:strRef>
              <c:f>budżet!$B$67:$H$67</c:f>
              <c:strCache>
                <c:ptCount val="7"/>
                <c:pt idx="0">
                  <c:v>2003</c:v>
                </c:pt>
                <c:pt idx="1">
                  <c:v>2004</c:v>
                </c:pt>
                <c:pt idx="2">
                  <c:v>2005</c:v>
                </c:pt>
                <c:pt idx="3">
                  <c:v>2006</c:v>
                </c:pt>
                <c:pt idx="4">
                  <c:v>2007</c:v>
                </c:pt>
                <c:pt idx="5">
                  <c:v>2008</c:v>
                </c:pt>
                <c:pt idx="6">
                  <c:v>2009</c:v>
                </c:pt>
              </c:strCache>
            </c:strRef>
          </c:cat>
          <c:val>
            <c:numRef>
              <c:f>budżet!$B$69:$H$69</c:f>
              <c:numCache>
                <c:formatCode>General</c:formatCode>
                <c:ptCount val="7"/>
                <c:pt idx="0">
                  <c:v>1500.2808163265302</c:v>
                </c:pt>
                <c:pt idx="1">
                  <c:v>1660.1753061224479</c:v>
                </c:pt>
                <c:pt idx="2">
                  <c:v>1879.9520408162998</c:v>
                </c:pt>
                <c:pt idx="3">
                  <c:v>2138.6822448979597</c:v>
                </c:pt>
                <c:pt idx="4">
                  <c:v>2416.8757142857989</c:v>
                </c:pt>
                <c:pt idx="5">
                  <c:v>2593.6034693877064</c:v>
                </c:pt>
                <c:pt idx="6">
                  <c:v>2568.4273469387772</c:v>
                </c:pt>
              </c:numCache>
            </c:numRef>
          </c:val>
        </c:ser>
        <c:ser>
          <c:idx val="2"/>
          <c:order val="2"/>
          <c:tx>
            <c:strRef>
              <c:f>budżet!$A$70</c:f>
              <c:strCache>
                <c:ptCount val="1"/>
                <c:pt idx="0">
                  <c:v>wydatki na 1 mieszkańca</c:v>
                </c:pt>
              </c:strCache>
            </c:strRef>
          </c:tx>
          <c:cat>
            <c:strRef>
              <c:f>budżet!$B$67:$H$67</c:f>
              <c:strCache>
                <c:ptCount val="7"/>
                <c:pt idx="0">
                  <c:v>2003</c:v>
                </c:pt>
                <c:pt idx="1">
                  <c:v>2004</c:v>
                </c:pt>
                <c:pt idx="2">
                  <c:v>2005</c:v>
                </c:pt>
                <c:pt idx="3">
                  <c:v>2006</c:v>
                </c:pt>
                <c:pt idx="4">
                  <c:v>2007</c:v>
                </c:pt>
                <c:pt idx="5">
                  <c:v>2008</c:v>
                </c:pt>
                <c:pt idx="6">
                  <c:v>2009</c:v>
                </c:pt>
              </c:strCache>
            </c:strRef>
          </c:cat>
          <c:val>
            <c:numRef>
              <c:f>budżet!$B$70:$H$70</c:f>
              <c:numCache>
                <c:formatCode>General</c:formatCode>
                <c:ptCount val="7"/>
                <c:pt idx="0">
                  <c:v>1520.5259183673472</c:v>
                </c:pt>
                <c:pt idx="1">
                  <c:v>1697.6197959183676</c:v>
                </c:pt>
                <c:pt idx="2">
                  <c:v>1900.4279591837274</c:v>
                </c:pt>
                <c:pt idx="3">
                  <c:v>2173.6934693877547</c:v>
                </c:pt>
                <c:pt idx="4">
                  <c:v>2323.6759183673471</c:v>
                </c:pt>
                <c:pt idx="5">
                  <c:v>2646.6953061224522</c:v>
                </c:pt>
                <c:pt idx="6">
                  <c:v>2867.3910204081662</c:v>
                </c:pt>
              </c:numCache>
            </c:numRef>
          </c:val>
        </c:ser>
        <c:ser>
          <c:idx val="3"/>
          <c:order val="3"/>
          <c:tx>
            <c:strRef>
              <c:f>budżet!$A$71</c:f>
              <c:strCache>
                <c:ptCount val="1"/>
                <c:pt idx="0">
                  <c:v>Nowa Sól</c:v>
                </c:pt>
              </c:strCache>
            </c:strRef>
          </c:tx>
          <c:spPr>
            <a:noFill/>
          </c:spPr>
          <c:cat>
            <c:strRef>
              <c:f>budżet!$B$67:$H$67</c:f>
              <c:strCache>
                <c:ptCount val="7"/>
                <c:pt idx="0">
                  <c:v>2003</c:v>
                </c:pt>
                <c:pt idx="1">
                  <c:v>2004</c:v>
                </c:pt>
                <c:pt idx="2">
                  <c:v>2005</c:v>
                </c:pt>
                <c:pt idx="3">
                  <c:v>2006</c:v>
                </c:pt>
                <c:pt idx="4">
                  <c:v>2007</c:v>
                </c:pt>
                <c:pt idx="5">
                  <c:v>2008</c:v>
                </c:pt>
                <c:pt idx="6">
                  <c:v>2009</c:v>
                </c:pt>
              </c:strCache>
            </c:strRef>
          </c:cat>
          <c:val>
            <c:numRef>
              <c:f>budżet!$B$71:$H$71</c:f>
              <c:numCache>
                <c:formatCode>General</c:formatCode>
                <c:ptCount val="7"/>
                <c:pt idx="0">
                  <c:v>500</c:v>
                </c:pt>
              </c:numCache>
            </c:numRef>
          </c:val>
        </c:ser>
        <c:gapWidth val="0"/>
        <c:axId val="179896704"/>
        <c:axId val="179898240"/>
      </c:barChart>
      <c:lineChart>
        <c:grouping val="standard"/>
        <c:ser>
          <c:idx val="4"/>
          <c:order val="4"/>
          <c:tx>
            <c:strRef>
              <c:f>budżet!$A$72</c:f>
              <c:strCache>
                <c:ptCount val="1"/>
                <c:pt idx="0">
                  <c:v>dochody na 1 mieszkańca</c:v>
                </c:pt>
              </c:strCache>
            </c:strRef>
          </c:tx>
          <c:marker>
            <c:symbol val="star"/>
            <c:size val="8"/>
          </c:marker>
          <c:cat>
            <c:strRef>
              <c:f>budżet!$B$67:$H$67</c:f>
              <c:strCache>
                <c:ptCount val="7"/>
                <c:pt idx="0">
                  <c:v>2003</c:v>
                </c:pt>
                <c:pt idx="1">
                  <c:v>2004</c:v>
                </c:pt>
                <c:pt idx="2">
                  <c:v>2005</c:v>
                </c:pt>
                <c:pt idx="3">
                  <c:v>2006</c:v>
                </c:pt>
                <c:pt idx="4">
                  <c:v>2007</c:v>
                </c:pt>
                <c:pt idx="5">
                  <c:v>2008</c:v>
                </c:pt>
                <c:pt idx="6">
                  <c:v>2009</c:v>
                </c:pt>
              </c:strCache>
            </c:strRef>
          </c:cat>
          <c:val>
            <c:numRef>
              <c:f>budżet!$B$72:$H$72</c:f>
              <c:numCache>
                <c:formatCode>General</c:formatCode>
                <c:ptCount val="7"/>
                <c:pt idx="0">
                  <c:v>1235.29</c:v>
                </c:pt>
                <c:pt idx="1">
                  <c:v>1521.83</c:v>
                </c:pt>
                <c:pt idx="2">
                  <c:v>1900.78</c:v>
                </c:pt>
                <c:pt idx="3">
                  <c:v>1983.87</c:v>
                </c:pt>
                <c:pt idx="4">
                  <c:v>2290.19</c:v>
                </c:pt>
                <c:pt idx="5">
                  <c:v>2236.65</c:v>
                </c:pt>
                <c:pt idx="6">
                  <c:v>2639.16</c:v>
                </c:pt>
              </c:numCache>
            </c:numRef>
          </c:val>
        </c:ser>
        <c:ser>
          <c:idx val="5"/>
          <c:order val="5"/>
          <c:tx>
            <c:strRef>
              <c:f>budżet!$A$73</c:f>
              <c:strCache>
                <c:ptCount val="1"/>
                <c:pt idx="0">
                  <c:v>wydatki na 1 mieszkańca</c:v>
                </c:pt>
              </c:strCache>
            </c:strRef>
          </c:tx>
          <c:marker>
            <c:symbol val="circle"/>
            <c:size val="8"/>
          </c:marker>
          <c:cat>
            <c:strRef>
              <c:f>budżet!$B$67:$H$67</c:f>
              <c:strCache>
                <c:ptCount val="7"/>
                <c:pt idx="0">
                  <c:v>2003</c:v>
                </c:pt>
                <c:pt idx="1">
                  <c:v>2004</c:v>
                </c:pt>
                <c:pt idx="2">
                  <c:v>2005</c:v>
                </c:pt>
                <c:pt idx="3">
                  <c:v>2006</c:v>
                </c:pt>
                <c:pt idx="4">
                  <c:v>2007</c:v>
                </c:pt>
                <c:pt idx="5">
                  <c:v>2008</c:v>
                </c:pt>
                <c:pt idx="6">
                  <c:v>2009</c:v>
                </c:pt>
              </c:strCache>
            </c:strRef>
          </c:cat>
          <c:val>
            <c:numRef>
              <c:f>budżet!$B$73:$H$73</c:f>
              <c:numCache>
                <c:formatCode>General</c:formatCode>
                <c:ptCount val="7"/>
                <c:pt idx="0">
                  <c:v>1348.22</c:v>
                </c:pt>
                <c:pt idx="1">
                  <c:v>1677.21</c:v>
                </c:pt>
                <c:pt idx="2">
                  <c:v>1925.3799999999999</c:v>
                </c:pt>
                <c:pt idx="3">
                  <c:v>2117.5500000000002</c:v>
                </c:pt>
                <c:pt idx="4">
                  <c:v>2131.56</c:v>
                </c:pt>
                <c:pt idx="5">
                  <c:v>2151.5</c:v>
                </c:pt>
                <c:pt idx="6">
                  <c:v>2724.92</c:v>
                </c:pt>
              </c:numCache>
            </c:numRef>
          </c:val>
        </c:ser>
        <c:marker val="1"/>
        <c:axId val="179896704"/>
        <c:axId val="179898240"/>
      </c:lineChart>
      <c:catAx>
        <c:axId val="179896704"/>
        <c:scaling>
          <c:orientation val="minMax"/>
        </c:scaling>
        <c:axPos val="b"/>
        <c:majorTickMark val="none"/>
        <c:tickLblPos val="nextTo"/>
        <c:txPr>
          <a:bodyPr/>
          <a:lstStyle/>
          <a:p>
            <a:pPr>
              <a:defRPr sz="800"/>
            </a:pPr>
            <a:endParaRPr lang="pl-PL"/>
          </a:p>
        </c:txPr>
        <c:crossAx val="179898240"/>
        <c:crosses val="autoZero"/>
        <c:auto val="1"/>
        <c:lblAlgn val="ctr"/>
        <c:lblOffset val="100"/>
      </c:catAx>
      <c:valAx>
        <c:axId val="179898240"/>
        <c:scaling>
          <c:orientation val="minMax"/>
          <c:max val="3000"/>
        </c:scaling>
        <c:axPos val="l"/>
        <c:majorGridlines/>
        <c:title>
          <c:tx>
            <c:rich>
              <a:bodyPr/>
              <a:lstStyle/>
              <a:p>
                <a:pPr>
                  <a:defRPr b="0"/>
                </a:pPr>
                <a:r>
                  <a:rPr lang="pl-PL" b="0"/>
                  <a:t>zł</a:t>
                </a:r>
              </a:p>
            </c:rich>
          </c:tx>
        </c:title>
        <c:numFmt formatCode="General" sourceLinked="1"/>
        <c:tickLblPos val="nextTo"/>
        <c:txPr>
          <a:bodyPr/>
          <a:lstStyle/>
          <a:p>
            <a:pPr>
              <a:defRPr sz="800"/>
            </a:pPr>
            <a:endParaRPr lang="pl-PL"/>
          </a:p>
        </c:txPr>
        <c:crossAx val="179896704"/>
        <c:crosses val="autoZero"/>
        <c:crossBetween val="between"/>
        <c:majorUnit val="200"/>
      </c:valAx>
    </c:plotArea>
    <c:legend>
      <c:legendPos val="r"/>
      <c:txPr>
        <a:bodyPr/>
        <a:lstStyle/>
        <a:p>
          <a:pPr>
            <a:defRPr sz="800"/>
          </a:pPr>
          <a:endParaRPr lang="pl-PL"/>
        </a:p>
      </c:txPr>
    </c:legend>
    <c:plotVisOnly val="1"/>
    <c:dispBlanksAs val="gap"/>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8.3068310619248201E-2"/>
          <c:y val="4.9744728300463233E-2"/>
          <c:w val="0.8889311802805866"/>
          <c:h val="0.73149436427907888"/>
        </c:manualLayout>
      </c:layout>
      <c:barChart>
        <c:barDir val="col"/>
        <c:grouping val="clustered"/>
        <c:ser>
          <c:idx val="0"/>
          <c:order val="0"/>
          <c:tx>
            <c:strRef>
              <c:f>finanse!$A$130</c:f>
              <c:strCache>
                <c:ptCount val="1"/>
                <c:pt idx="0">
                  <c:v>średnia dla miast o porównywalej wielkości</c:v>
                </c:pt>
              </c:strCache>
            </c:strRef>
          </c:tx>
          <c:cat>
            <c:strRef>
              <c:f>finanse!$AD$129:$AJ$129</c:f>
              <c:strCache>
                <c:ptCount val="7"/>
                <c:pt idx="0">
                  <c:v>2003</c:v>
                </c:pt>
                <c:pt idx="1">
                  <c:v>2004</c:v>
                </c:pt>
                <c:pt idx="2">
                  <c:v>2005</c:v>
                </c:pt>
                <c:pt idx="3">
                  <c:v>2006</c:v>
                </c:pt>
                <c:pt idx="4">
                  <c:v>2007</c:v>
                </c:pt>
                <c:pt idx="5">
                  <c:v>2008</c:v>
                </c:pt>
                <c:pt idx="6">
                  <c:v>2009</c:v>
                </c:pt>
              </c:strCache>
            </c:strRef>
          </c:cat>
          <c:val>
            <c:numRef>
              <c:f>finanse!$AD$130:$AJ$130</c:f>
              <c:numCache>
                <c:formatCode>0.00</c:formatCode>
                <c:ptCount val="7"/>
                <c:pt idx="0">
                  <c:v>29.016502112071787</c:v>
                </c:pt>
                <c:pt idx="1">
                  <c:v>31.625227488873026</c:v>
                </c:pt>
                <c:pt idx="2">
                  <c:v>31.731973013372137</c:v>
                </c:pt>
                <c:pt idx="3">
                  <c:v>32.519748112020451</c:v>
                </c:pt>
                <c:pt idx="4">
                  <c:v>32.176842470440945</c:v>
                </c:pt>
                <c:pt idx="5">
                  <c:v>33.685658170656644</c:v>
                </c:pt>
                <c:pt idx="6">
                  <c:v>32.824573293106099</c:v>
                </c:pt>
              </c:numCache>
            </c:numRef>
          </c:val>
        </c:ser>
        <c:axId val="179935872"/>
        <c:axId val="179941760"/>
      </c:barChart>
      <c:lineChart>
        <c:grouping val="standard"/>
        <c:ser>
          <c:idx val="1"/>
          <c:order val="1"/>
          <c:tx>
            <c:strRef>
              <c:f>finanse!$A$131</c:f>
              <c:strCache>
                <c:ptCount val="1"/>
                <c:pt idx="0">
                  <c:v>Nowa Sól</c:v>
                </c:pt>
              </c:strCache>
            </c:strRef>
          </c:tx>
          <c:marker>
            <c:symbol val="square"/>
            <c:size val="6"/>
          </c:marker>
          <c:cat>
            <c:strRef>
              <c:f>finanse!$AD$129:$AJ$129</c:f>
              <c:strCache>
                <c:ptCount val="7"/>
                <c:pt idx="0">
                  <c:v>2003</c:v>
                </c:pt>
                <c:pt idx="1">
                  <c:v>2004</c:v>
                </c:pt>
                <c:pt idx="2">
                  <c:v>2005</c:v>
                </c:pt>
                <c:pt idx="3">
                  <c:v>2006</c:v>
                </c:pt>
                <c:pt idx="4">
                  <c:v>2007</c:v>
                </c:pt>
                <c:pt idx="5">
                  <c:v>2008</c:v>
                </c:pt>
                <c:pt idx="6">
                  <c:v>2009</c:v>
                </c:pt>
              </c:strCache>
            </c:strRef>
          </c:cat>
          <c:val>
            <c:numRef>
              <c:f>finanse!$AD$131:$AJ$131</c:f>
              <c:numCache>
                <c:formatCode>0.00</c:formatCode>
                <c:ptCount val="7"/>
                <c:pt idx="0">
                  <c:v>25.274684426326292</c:v>
                </c:pt>
                <c:pt idx="1">
                  <c:v>27.79997335685929</c:v>
                </c:pt>
                <c:pt idx="2">
                  <c:v>25.469246763632903</c:v>
                </c:pt>
                <c:pt idx="3">
                  <c:v>28.293042272404769</c:v>
                </c:pt>
                <c:pt idx="4">
                  <c:v>24.359593124677875</c:v>
                </c:pt>
                <c:pt idx="5">
                  <c:v>24.549975565524765</c:v>
                </c:pt>
                <c:pt idx="6">
                  <c:v>26.544526692948889</c:v>
                </c:pt>
              </c:numCache>
            </c:numRef>
          </c:val>
        </c:ser>
        <c:marker val="1"/>
        <c:axId val="179935872"/>
        <c:axId val="179941760"/>
      </c:lineChart>
      <c:catAx>
        <c:axId val="179935872"/>
        <c:scaling>
          <c:orientation val="minMax"/>
        </c:scaling>
        <c:axPos val="b"/>
        <c:numFmt formatCode="General" sourceLinked="1"/>
        <c:majorTickMark val="none"/>
        <c:tickLblPos val="nextTo"/>
        <c:txPr>
          <a:bodyPr/>
          <a:lstStyle/>
          <a:p>
            <a:pPr>
              <a:defRPr sz="900"/>
            </a:pPr>
            <a:endParaRPr lang="pl-PL"/>
          </a:p>
        </c:txPr>
        <c:crossAx val="179941760"/>
        <c:crosses val="autoZero"/>
        <c:auto val="1"/>
        <c:lblAlgn val="ctr"/>
        <c:lblOffset val="100"/>
      </c:catAx>
      <c:valAx>
        <c:axId val="179941760"/>
        <c:scaling>
          <c:orientation val="minMax"/>
          <c:max val="34"/>
          <c:min val="23"/>
        </c:scaling>
        <c:axPos val="l"/>
        <c:majorGridlines/>
        <c:title>
          <c:tx>
            <c:rich>
              <a:bodyPr/>
              <a:lstStyle/>
              <a:p>
                <a:pPr>
                  <a:defRPr/>
                </a:pPr>
                <a:r>
                  <a:rPr lang="pl-PL" sz="900"/>
                  <a:t>%</a:t>
                </a:r>
              </a:p>
            </c:rich>
          </c:tx>
        </c:title>
        <c:numFmt formatCode="0" sourceLinked="0"/>
        <c:majorTickMark val="none"/>
        <c:tickLblPos val="nextTo"/>
        <c:txPr>
          <a:bodyPr/>
          <a:lstStyle/>
          <a:p>
            <a:pPr>
              <a:defRPr sz="800"/>
            </a:pPr>
            <a:endParaRPr lang="pl-PL"/>
          </a:p>
        </c:txPr>
        <c:crossAx val="179935872"/>
        <c:crosses val="autoZero"/>
        <c:crossBetween val="between"/>
        <c:majorUnit val="1"/>
        <c:minorUnit val="0.5"/>
      </c:valAx>
    </c:plotArea>
    <c:legend>
      <c:legendPos val="b"/>
      <c:txPr>
        <a:bodyPr/>
        <a:lstStyle/>
        <a:p>
          <a:pPr>
            <a:defRPr sz="900"/>
          </a:pPr>
          <a:endParaRPr lang="pl-PL"/>
        </a:p>
      </c:txPr>
    </c:legend>
    <c:plotVisOnly val="1"/>
    <c:dispBlanksAs val="gap"/>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lineChart>
        <c:grouping val="standard"/>
        <c:ser>
          <c:idx val="0"/>
          <c:order val="0"/>
          <c:tx>
            <c:strRef>
              <c:f>nadwyżka!$A$2</c:f>
              <c:strCache>
                <c:ptCount val="1"/>
                <c:pt idx="0">
                  <c:v>dochody ogółem</c:v>
                </c:pt>
              </c:strCache>
            </c:strRef>
          </c:tx>
          <c:marker>
            <c:symbol val="diamond"/>
            <c:size val="8"/>
          </c:marker>
          <c:cat>
            <c:numRef>
              <c:f>nadwyżka!$B$1:$L$1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nadwyżka!$B$2:$K$2</c:f>
              <c:numCache>
                <c:formatCode>General</c:formatCode>
                <c:ptCount val="10"/>
                <c:pt idx="0" formatCode="_-* #,##0\ [$zł-415]_-;\-* #,##0\ [$zł-415]_-;_-* &quot;-&quot;??\ [$zł-415]_-;_-@_-">
                  <c:v>136852634</c:v>
                </c:pt>
                <c:pt idx="1">
                  <c:v>110500000</c:v>
                </c:pt>
                <c:pt idx="2">
                  <c:v>109000000</c:v>
                </c:pt>
                <c:pt idx="3">
                  <c:v>107000000</c:v>
                </c:pt>
                <c:pt idx="4">
                  <c:v>105000000</c:v>
                </c:pt>
                <c:pt idx="5">
                  <c:v>105000000</c:v>
                </c:pt>
                <c:pt idx="6">
                  <c:v>104000000</c:v>
                </c:pt>
                <c:pt idx="7">
                  <c:v>102000000</c:v>
                </c:pt>
                <c:pt idx="8">
                  <c:v>100000000</c:v>
                </c:pt>
                <c:pt idx="9">
                  <c:v>100000000</c:v>
                </c:pt>
              </c:numCache>
            </c:numRef>
          </c:val>
        </c:ser>
        <c:ser>
          <c:idx val="1"/>
          <c:order val="1"/>
          <c:tx>
            <c:strRef>
              <c:f>nadwyżka!$A$3</c:f>
              <c:strCache>
                <c:ptCount val="1"/>
                <c:pt idx="0">
                  <c:v>wydatki bieżące</c:v>
                </c:pt>
              </c:strCache>
            </c:strRef>
          </c:tx>
          <c:marker>
            <c:symbol val="square"/>
            <c:size val="7"/>
          </c:marker>
          <c:cat>
            <c:numRef>
              <c:f>nadwyżka!$B$1:$L$1</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nadwyżka!$B$3:$K$3</c:f>
              <c:numCache>
                <c:formatCode>General</c:formatCode>
                <c:ptCount val="10"/>
                <c:pt idx="0" formatCode="_-* #,##0\ [$zł-415]_-;\-* #,##0\ [$zł-415]_-;_-* &quot;-&quot;??\ [$zł-415]_-;_-@_-">
                  <c:v>87831159</c:v>
                </c:pt>
                <c:pt idx="1">
                  <c:v>86190000</c:v>
                </c:pt>
                <c:pt idx="2">
                  <c:v>85020000</c:v>
                </c:pt>
                <c:pt idx="3">
                  <c:v>83460000</c:v>
                </c:pt>
                <c:pt idx="4">
                  <c:v>81900000</c:v>
                </c:pt>
                <c:pt idx="5">
                  <c:v>81900000</c:v>
                </c:pt>
                <c:pt idx="6">
                  <c:v>81120000</c:v>
                </c:pt>
                <c:pt idx="7">
                  <c:v>79560000</c:v>
                </c:pt>
                <c:pt idx="8">
                  <c:v>78000000</c:v>
                </c:pt>
                <c:pt idx="9">
                  <c:v>78000000</c:v>
                </c:pt>
              </c:numCache>
            </c:numRef>
          </c:val>
        </c:ser>
        <c:hiLowLines>
          <c:spPr>
            <a:ln w="47625" cap="sq" cmpd="sng">
              <a:solidFill>
                <a:srgbClr val="00B050"/>
              </a:solidFill>
              <a:prstDash val="solid"/>
            </a:ln>
            <a:effectLst>
              <a:outerShdw blurRad="63500" sx="102000" sy="102000" algn="ctr" rotWithShape="0">
                <a:prstClr val="black">
                  <a:alpha val="40000"/>
                </a:prstClr>
              </a:outerShdw>
            </a:effectLst>
          </c:spPr>
        </c:hiLowLines>
        <c:marker val="1"/>
        <c:axId val="179975296"/>
        <c:axId val="179976832"/>
      </c:lineChart>
      <c:catAx>
        <c:axId val="179975296"/>
        <c:scaling>
          <c:orientation val="minMax"/>
        </c:scaling>
        <c:axPos val="b"/>
        <c:numFmt formatCode="General" sourceLinked="1"/>
        <c:majorTickMark val="none"/>
        <c:tickLblPos val="nextTo"/>
        <c:txPr>
          <a:bodyPr/>
          <a:lstStyle/>
          <a:p>
            <a:pPr>
              <a:defRPr sz="900"/>
            </a:pPr>
            <a:endParaRPr lang="pl-PL"/>
          </a:p>
        </c:txPr>
        <c:crossAx val="179976832"/>
        <c:crosses val="autoZero"/>
        <c:auto val="1"/>
        <c:lblAlgn val="ctr"/>
        <c:lblOffset val="100"/>
      </c:catAx>
      <c:valAx>
        <c:axId val="179976832"/>
        <c:scaling>
          <c:orientation val="minMax"/>
          <c:max val="140000000"/>
          <c:min val="70000000"/>
        </c:scaling>
        <c:axPos val="l"/>
        <c:majorGridlines/>
        <c:numFmt formatCode="#,##0\ &quot;zł&quot;" sourceLinked="0"/>
        <c:tickLblPos val="nextTo"/>
        <c:txPr>
          <a:bodyPr/>
          <a:lstStyle/>
          <a:p>
            <a:pPr>
              <a:defRPr sz="900"/>
            </a:pPr>
            <a:endParaRPr lang="pl-PL"/>
          </a:p>
        </c:txPr>
        <c:crossAx val="179975296"/>
        <c:crosses val="autoZero"/>
        <c:crossBetween val="between"/>
        <c:majorUnit val="5000000"/>
        <c:minorUnit val="1000000"/>
        <c:dispUnits>
          <c:builtInUnit val="millions"/>
          <c:dispUnitsLbl>
            <c:layout>
              <c:manualLayout>
                <c:xMode val="edge"/>
                <c:yMode val="edge"/>
                <c:x val="2.7414330218068612E-2"/>
                <c:y val="0.12856303141748143"/>
              </c:manualLayout>
            </c:layout>
            <c:tx>
              <c:rich>
                <a:bodyPr/>
                <a:lstStyle/>
                <a:p>
                  <a:pPr>
                    <a:defRPr b="0"/>
                  </a:pPr>
                  <a:r>
                    <a:rPr lang="pl-PL" sz="900"/>
                    <a:t>Miliony</a:t>
                  </a:r>
                </a:p>
              </c:rich>
            </c:tx>
          </c:dispUnitsLbl>
        </c:dispUnits>
      </c:valAx>
    </c:plotArea>
    <c:legend>
      <c:legendPos val="b"/>
      <c:txPr>
        <a:bodyPr/>
        <a:lstStyle/>
        <a:p>
          <a:pPr>
            <a:defRPr sz="900"/>
          </a:pPr>
          <a:endParaRPr lang="pl-PL"/>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stacked"/>
        <c:ser>
          <c:idx val="0"/>
          <c:order val="0"/>
          <c:tx>
            <c:strRef>
              <c:f>'Dane wg podgr. cech'!$AZ$7:$BF$7</c:f>
              <c:strCache>
                <c:ptCount val="1"/>
                <c:pt idx="0">
                  <c:v>mężczyźni</c:v>
                </c:pt>
              </c:strCache>
            </c:strRef>
          </c:tx>
          <c:cat>
            <c:strRef>
              <c:f>'Dane wg podgr. cech'!$B$14:$B$16</c:f>
              <c:strCache>
                <c:ptCount val="3"/>
                <c:pt idx="0">
                  <c:v>w wieku przedprodukcyjnym (17 lat i mniej)</c:v>
                </c:pt>
                <c:pt idx="1">
                  <c:v>w wieku produkcyjnym (18 - 59/64 lata)</c:v>
                </c:pt>
                <c:pt idx="2">
                  <c:v> w wieku poprodukcyjnym (60/65 lat i więcej)</c:v>
                </c:pt>
              </c:strCache>
            </c:strRef>
          </c:cat>
          <c:val>
            <c:numRef>
              <c:f>('Dane wg podgr. cech'!$P$10,'Dane wg podgr. cech'!$AK$10,'Dane wg podgr. cech'!$BF$10)</c:f>
              <c:numCache>
                <c:formatCode>#,##0</c:formatCode>
                <c:ptCount val="3"/>
                <c:pt idx="0">
                  <c:v>3575</c:v>
                </c:pt>
                <c:pt idx="1">
                  <c:v>13315</c:v>
                </c:pt>
                <c:pt idx="2">
                  <c:v>1948</c:v>
                </c:pt>
              </c:numCache>
            </c:numRef>
          </c:val>
        </c:ser>
        <c:ser>
          <c:idx val="1"/>
          <c:order val="1"/>
          <c:tx>
            <c:strRef>
              <c:f>'Dane wg podgr. cech'!$AL$7:$AR$7</c:f>
              <c:strCache>
                <c:ptCount val="1"/>
                <c:pt idx="0">
                  <c:v>kobiety</c:v>
                </c:pt>
              </c:strCache>
            </c:strRef>
          </c:tx>
          <c:cat>
            <c:strRef>
              <c:f>'Dane wg podgr. cech'!$B$14:$B$16</c:f>
              <c:strCache>
                <c:ptCount val="3"/>
                <c:pt idx="0">
                  <c:v>w wieku przedprodukcyjnym (17 lat i mniej)</c:v>
                </c:pt>
                <c:pt idx="1">
                  <c:v>w wieku produkcyjnym (18 - 59/64 lata)</c:v>
                </c:pt>
                <c:pt idx="2">
                  <c:v> w wieku poprodukcyjnym (60/65 lat i więcej)</c:v>
                </c:pt>
              </c:strCache>
            </c:strRef>
          </c:cat>
          <c:val>
            <c:numRef>
              <c:f>('Dane wg podgr. cech'!$W$10,'Dane wg podgr. cech'!$AR$10,'Dane wg podgr. cech'!$BM$10)</c:f>
              <c:numCache>
                <c:formatCode>#,##0</c:formatCode>
                <c:ptCount val="3"/>
                <c:pt idx="0">
                  <c:v>3556</c:v>
                </c:pt>
                <c:pt idx="1">
                  <c:v>12664</c:v>
                </c:pt>
                <c:pt idx="2">
                  <c:v>4887</c:v>
                </c:pt>
              </c:numCache>
            </c:numRef>
          </c:val>
        </c:ser>
        <c:gapWidth val="55"/>
        <c:overlap val="100"/>
        <c:axId val="166884096"/>
        <c:axId val="166885632"/>
      </c:barChart>
      <c:catAx>
        <c:axId val="166884096"/>
        <c:scaling>
          <c:orientation val="minMax"/>
        </c:scaling>
        <c:axPos val="b"/>
        <c:numFmt formatCode="General" sourceLinked="1"/>
        <c:majorTickMark val="none"/>
        <c:tickLblPos val="nextTo"/>
        <c:txPr>
          <a:bodyPr/>
          <a:lstStyle/>
          <a:p>
            <a:pPr>
              <a:defRPr sz="900"/>
            </a:pPr>
            <a:endParaRPr lang="pl-PL"/>
          </a:p>
        </c:txPr>
        <c:crossAx val="166885632"/>
        <c:crosses val="autoZero"/>
        <c:auto val="1"/>
        <c:lblAlgn val="ctr"/>
        <c:lblOffset val="100"/>
      </c:catAx>
      <c:valAx>
        <c:axId val="166885632"/>
        <c:scaling>
          <c:orientation val="minMax"/>
        </c:scaling>
        <c:axPos val="l"/>
        <c:majorGridlines/>
        <c:numFmt formatCode="#,##0" sourceLinked="1"/>
        <c:majorTickMark val="none"/>
        <c:tickLblPos val="nextTo"/>
        <c:txPr>
          <a:bodyPr/>
          <a:lstStyle/>
          <a:p>
            <a:pPr>
              <a:defRPr sz="900"/>
            </a:pPr>
            <a:endParaRPr lang="pl-PL"/>
          </a:p>
        </c:txPr>
        <c:crossAx val="166884096"/>
        <c:crosses val="autoZero"/>
        <c:crossBetween val="between"/>
      </c:valAx>
    </c:plotArea>
    <c:legend>
      <c:legendPos val="r"/>
      <c:txPr>
        <a:bodyPr/>
        <a:lstStyle/>
        <a:p>
          <a:pPr>
            <a:defRPr sz="900"/>
          </a:pPr>
          <a:endParaRPr lang="pl-PL"/>
        </a:p>
      </c:txPr>
    </c:legend>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1636373350243986"/>
          <c:y val="5.1559089264392455E-2"/>
          <c:w val="0.85659402039221522"/>
          <c:h val="0.81567102506079625"/>
        </c:manualLayout>
      </c:layout>
      <c:lineChart>
        <c:grouping val="standard"/>
        <c:ser>
          <c:idx val="0"/>
          <c:order val="0"/>
          <c:marker>
            <c:symbol val="diamond"/>
            <c:size val="9"/>
          </c:marker>
          <c:cat>
            <c:strRef>
              <c:f>'Dane wg podgr. cech'!$C$7:$R$7</c:f>
              <c:strCache>
                <c:ptCount val="16"/>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strCache>
            </c:strRef>
          </c:cat>
          <c:val>
            <c:numRef>
              <c:f>'Dane wg podgr. cech'!$C$9:$R$9</c:f>
              <c:numCache>
                <c:formatCode>#,##0</c:formatCode>
                <c:ptCount val="16"/>
                <c:pt idx="0">
                  <c:v>3583</c:v>
                </c:pt>
                <c:pt idx="1">
                  <c:v>3063</c:v>
                </c:pt>
                <c:pt idx="2">
                  <c:v>3199</c:v>
                </c:pt>
                <c:pt idx="3">
                  <c:v>3320</c:v>
                </c:pt>
                <c:pt idx="4">
                  <c:v>3318</c:v>
                </c:pt>
                <c:pt idx="5">
                  <c:v>3251</c:v>
                </c:pt>
                <c:pt idx="6">
                  <c:v>3756</c:v>
                </c:pt>
                <c:pt idx="7">
                  <c:v>3834</c:v>
                </c:pt>
                <c:pt idx="8">
                  <c:v>3759</c:v>
                </c:pt>
                <c:pt idx="9">
                  <c:v>3686</c:v>
                </c:pt>
                <c:pt idx="10">
                  <c:v>3664</c:v>
                </c:pt>
                <c:pt idx="11">
                  <c:v>3663</c:v>
                </c:pt>
                <c:pt idx="12">
                  <c:v>3668</c:v>
                </c:pt>
                <c:pt idx="13">
                  <c:v>3640</c:v>
                </c:pt>
                <c:pt idx="14">
                  <c:v>3627</c:v>
                </c:pt>
                <c:pt idx="15">
                  <c:v>3743</c:v>
                </c:pt>
              </c:numCache>
            </c:numRef>
          </c:val>
        </c:ser>
        <c:marker val="1"/>
        <c:axId val="179992832"/>
        <c:axId val="180002816"/>
      </c:lineChart>
      <c:catAx>
        <c:axId val="179992832"/>
        <c:scaling>
          <c:orientation val="minMax"/>
        </c:scaling>
        <c:axPos val="b"/>
        <c:majorTickMark val="none"/>
        <c:tickLblPos val="nextTo"/>
        <c:txPr>
          <a:bodyPr/>
          <a:lstStyle/>
          <a:p>
            <a:pPr>
              <a:defRPr sz="800"/>
            </a:pPr>
            <a:endParaRPr lang="pl-PL"/>
          </a:p>
        </c:txPr>
        <c:crossAx val="180002816"/>
        <c:crosses val="autoZero"/>
        <c:auto val="1"/>
        <c:lblAlgn val="ctr"/>
        <c:lblOffset val="100"/>
      </c:catAx>
      <c:valAx>
        <c:axId val="180002816"/>
        <c:scaling>
          <c:orientation val="minMax"/>
          <c:min val="2500"/>
        </c:scaling>
        <c:axPos val="l"/>
        <c:majorGridlines/>
        <c:title>
          <c:tx>
            <c:rich>
              <a:bodyPr rot="-5400000" vert="horz"/>
              <a:lstStyle/>
              <a:p>
                <a:pPr>
                  <a:defRPr/>
                </a:pPr>
                <a:r>
                  <a:rPr lang="pl-PL" sz="800" b="0"/>
                  <a:t>liczba podmiotów</a:t>
                </a:r>
              </a:p>
            </c:rich>
          </c:tx>
        </c:title>
        <c:numFmt formatCode="#,##0" sourceLinked="1"/>
        <c:majorTickMark val="none"/>
        <c:tickLblPos val="nextTo"/>
        <c:txPr>
          <a:bodyPr/>
          <a:lstStyle/>
          <a:p>
            <a:pPr>
              <a:defRPr sz="800"/>
            </a:pPr>
            <a:endParaRPr lang="pl-PL"/>
          </a:p>
        </c:txPr>
        <c:crossAx val="179992832"/>
        <c:crosses val="autoZero"/>
        <c:crossBetween val="between"/>
        <c:majorUnit val="200"/>
      </c:valAx>
    </c:plotArea>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26823530964748427"/>
          <c:y val="3.1645200291328286E-2"/>
          <c:w val="0.68383625139900261"/>
          <c:h val="0.8232303685415957"/>
        </c:manualLayout>
      </c:layout>
      <c:barChart>
        <c:barDir val="bar"/>
        <c:grouping val="stacked"/>
        <c:ser>
          <c:idx val="0"/>
          <c:order val="0"/>
          <c:spPr>
            <a:ln w="15875"/>
            <a:effectLst>
              <a:outerShdw blurRad="40000" dist="23000" dir="5400000" sx="90000" sy="90000" rotWithShape="0">
                <a:srgbClr val="000000">
                  <a:alpha val="35000"/>
                </a:srgbClr>
              </a:outerShdw>
            </a:effectLst>
          </c:spPr>
          <c:cat>
            <c:strRef>
              <c:f>'Dane wg podgr. cech'!$B$70:$B$74</c:f>
              <c:strCache>
                <c:ptCount val="5"/>
                <c:pt idx="0">
                  <c:v>wybrane miasta - średnia</c:v>
                </c:pt>
                <c:pt idx="1">
                  <c:v>Nowa Sól</c:v>
                </c:pt>
                <c:pt idx="2">
                  <c:v>powiat nowosolski</c:v>
                </c:pt>
                <c:pt idx="3">
                  <c:v>województwo lubuskie</c:v>
                </c:pt>
                <c:pt idx="4">
                  <c:v>POLSKA</c:v>
                </c:pt>
              </c:strCache>
            </c:strRef>
          </c:cat>
          <c:val>
            <c:numRef>
              <c:f>'Dane wg podgr. cech'!$C$70:$C$74</c:f>
              <c:numCache>
                <c:formatCode>#,##0</c:formatCode>
                <c:ptCount val="5"/>
                <c:pt idx="0">
                  <c:v>1137.9824561403509</c:v>
                </c:pt>
                <c:pt idx="1">
                  <c:v>908</c:v>
                </c:pt>
                <c:pt idx="2" formatCode="General">
                  <c:v>752</c:v>
                </c:pt>
                <c:pt idx="3" formatCode="General">
                  <c:v>1004</c:v>
                </c:pt>
                <c:pt idx="4">
                  <c:v>981</c:v>
                </c:pt>
              </c:numCache>
            </c:numRef>
          </c:val>
        </c:ser>
        <c:gapWidth val="55"/>
        <c:overlap val="100"/>
        <c:axId val="180009984"/>
        <c:axId val="180290304"/>
      </c:barChart>
      <c:catAx>
        <c:axId val="180009984"/>
        <c:scaling>
          <c:orientation val="minMax"/>
        </c:scaling>
        <c:axPos val="l"/>
        <c:majorTickMark val="none"/>
        <c:tickLblPos val="nextTo"/>
        <c:txPr>
          <a:bodyPr/>
          <a:lstStyle/>
          <a:p>
            <a:pPr>
              <a:defRPr sz="900"/>
            </a:pPr>
            <a:endParaRPr lang="pl-PL"/>
          </a:p>
        </c:txPr>
        <c:crossAx val="180290304"/>
        <c:crosses val="autoZero"/>
        <c:auto val="1"/>
        <c:lblAlgn val="ctr"/>
        <c:lblOffset val="100"/>
      </c:catAx>
      <c:valAx>
        <c:axId val="180290304"/>
        <c:scaling>
          <c:orientation val="minMax"/>
        </c:scaling>
        <c:axPos val="b"/>
        <c:majorGridlines/>
        <c:title>
          <c:tx>
            <c:rich>
              <a:bodyPr/>
              <a:lstStyle/>
              <a:p>
                <a:pPr>
                  <a:defRPr/>
                </a:pPr>
                <a:r>
                  <a:rPr lang="pl-PL" sz="900" b="0"/>
                  <a:t>liczba podmiotów</a:t>
                </a:r>
              </a:p>
            </c:rich>
          </c:tx>
          <c:layout>
            <c:manualLayout>
              <c:xMode val="edge"/>
              <c:yMode val="edge"/>
              <c:x val="0.54912486316411202"/>
              <c:y val="0.92807422767415471"/>
            </c:manualLayout>
          </c:layout>
        </c:title>
        <c:numFmt formatCode="#,##0" sourceLinked="1"/>
        <c:majorTickMark val="none"/>
        <c:tickLblPos val="nextTo"/>
        <c:txPr>
          <a:bodyPr/>
          <a:lstStyle/>
          <a:p>
            <a:pPr>
              <a:defRPr sz="800"/>
            </a:pPr>
            <a:endParaRPr lang="pl-PL"/>
          </a:p>
        </c:txPr>
        <c:crossAx val="180009984"/>
        <c:crosses val="autoZero"/>
        <c:crossBetween val="between"/>
        <c:majorUnit val="100"/>
        <c:minorUnit val="50"/>
      </c:valAx>
    </c:plotArea>
    <c:plotVisOnly val="1"/>
  </c:chart>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2.2788559791219395E-2"/>
          <c:y val="0.19153980710898225"/>
          <c:w val="0.90991102613673991"/>
          <c:h val="0.78733065966559324"/>
        </c:manualLayout>
      </c:layout>
      <c:pieChart>
        <c:varyColors val="1"/>
        <c:ser>
          <c:idx val="0"/>
          <c:order val="0"/>
          <c:explosion val="25"/>
          <c:dLbls>
            <c:dLbl>
              <c:idx val="0"/>
              <c:layout>
                <c:manualLayout>
                  <c:x val="3.5207219802373936E-2"/>
                  <c:y val="-0.32484363055426058"/>
                </c:manualLayout>
              </c:layout>
              <c:showCatName val="1"/>
              <c:showPercent val="1"/>
            </c:dLbl>
            <c:dLbl>
              <c:idx val="1"/>
              <c:layout>
                <c:manualLayout>
                  <c:x val="-0.15727084935948221"/>
                  <c:y val="7.93868507800045E-2"/>
                </c:manualLayout>
              </c:layout>
              <c:showCatName val="1"/>
              <c:showPercent val="1"/>
            </c:dLbl>
            <c:dLbl>
              <c:idx val="2"/>
              <c:layout>
                <c:manualLayout>
                  <c:x val="-0.12239084018492002"/>
                  <c:y val="1.2673195188816721E-2"/>
                </c:manualLayout>
              </c:layout>
              <c:showCatName val="1"/>
              <c:showPercent val="1"/>
            </c:dLbl>
            <c:dLbl>
              <c:idx val="3"/>
              <c:layout>
                <c:manualLayout>
                  <c:x val="0.13228909721362486"/>
                  <c:y val="1.4996665761070909E-2"/>
                </c:manualLayout>
              </c:layout>
              <c:showCatName val="1"/>
              <c:showPercent val="1"/>
            </c:dLbl>
            <c:numFmt formatCode="0.0%" sourceLinked="0"/>
            <c:txPr>
              <a:bodyPr/>
              <a:lstStyle/>
              <a:p>
                <a:pPr>
                  <a:defRPr sz="900"/>
                </a:pPr>
                <a:endParaRPr lang="pl-PL"/>
              </a:p>
            </c:txPr>
            <c:showCatName val="1"/>
            <c:showPercent val="1"/>
            <c:showLeaderLines val="1"/>
          </c:dLbls>
          <c:cat>
            <c:strRef>
              <c:f>firmy!$A$230:$A$233</c:f>
              <c:strCache>
                <c:ptCount val="4"/>
                <c:pt idx="0">
                  <c:v>0-9 osób</c:v>
                </c:pt>
                <c:pt idx="1">
                  <c:v>10-49 osób</c:v>
                </c:pt>
                <c:pt idx="2">
                  <c:v>50-249 osób</c:v>
                </c:pt>
                <c:pt idx="3">
                  <c:v>250-999 osób</c:v>
                </c:pt>
              </c:strCache>
            </c:strRef>
          </c:cat>
          <c:val>
            <c:numRef>
              <c:f>firmy!$D$230:$D$233</c:f>
              <c:numCache>
                <c:formatCode>#,##0</c:formatCode>
                <c:ptCount val="4"/>
                <c:pt idx="0">
                  <c:v>3525</c:v>
                </c:pt>
                <c:pt idx="1">
                  <c:v>174</c:v>
                </c:pt>
                <c:pt idx="2">
                  <c:v>41</c:v>
                </c:pt>
                <c:pt idx="3">
                  <c:v>3</c:v>
                </c:pt>
              </c:numCache>
            </c:numRef>
          </c:val>
        </c:ser>
        <c:dLbls>
          <c:showPercent val="1"/>
        </c:dLbls>
        <c:firstSliceAng val="0"/>
      </c:pieChart>
    </c:plotArea>
    <c:plotVisOnly val="1"/>
  </c:chart>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1.6694451292201991E-2"/>
          <c:y val="5.0139591154979624E-2"/>
          <c:w val="0.64247281589801275"/>
          <c:h val="0.87629857452181814"/>
        </c:manualLayout>
      </c:layout>
      <c:ofPieChart>
        <c:ofPieType val="bar"/>
        <c:varyColors val="1"/>
        <c:ser>
          <c:idx val="0"/>
          <c:order val="0"/>
          <c:dLbls>
            <c:dLbl>
              <c:idx val="0"/>
              <c:layout>
                <c:manualLayout>
                  <c:x val="9.5238095238095813E-4"/>
                  <c:y val="0.16277947238577159"/>
                </c:manualLayout>
              </c:layout>
              <c:tx>
                <c:rich>
                  <a:bodyPr/>
                  <a:lstStyle/>
                  <a:p>
                    <a:r>
                      <a:rPr lang="en-US" sz="800"/>
                      <a:t>rolnictwo, leśnictw</a:t>
                    </a:r>
                    <a:r>
                      <a:rPr lang="pl-PL" sz="800"/>
                      <a:t>o</a:t>
                    </a:r>
                    <a:r>
                      <a:rPr lang="en-US" sz="800"/>
                      <a:t>, łowiectwo i rybactwo; 1%</a:t>
                    </a:r>
                  </a:p>
                </c:rich>
              </c:tx>
              <c:dLblPos val="bestFit"/>
              <c:showCatName val="1"/>
              <c:showPercent val="1"/>
            </c:dLbl>
            <c:dLbl>
              <c:idx val="1"/>
              <c:spPr/>
              <c:txPr>
                <a:bodyPr/>
                <a:lstStyle/>
                <a:p>
                  <a:pPr>
                    <a:defRPr sz="800"/>
                  </a:pPr>
                  <a:endParaRPr lang="pl-PL"/>
                </a:p>
              </c:txPr>
              <c:dLblPos val="bestFit"/>
              <c:showCatName val="1"/>
              <c:showPercent val="1"/>
            </c:dLbl>
            <c:dLbl>
              <c:idx val="2"/>
              <c:layout>
                <c:manualLayout>
                  <c:x val="2.9345968643657259E-2"/>
                  <c:y val="3.2037878393356096E-2"/>
                </c:manualLayout>
              </c:layout>
              <c:spPr/>
              <c:txPr>
                <a:bodyPr/>
                <a:lstStyle/>
                <a:p>
                  <a:pPr>
                    <a:defRPr sz="800"/>
                  </a:pPr>
                  <a:endParaRPr lang="pl-PL"/>
                </a:p>
              </c:txPr>
              <c:dLblPos val="bestFit"/>
              <c:showCatName val="1"/>
              <c:showPercent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layout>
                <c:manualLayout>
                  <c:x val="-8.6112383779704982E-2"/>
                  <c:y val="1.2963316572252978E-2"/>
                </c:manualLayout>
              </c:layout>
              <c:tx>
                <c:rich>
                  <a:bodyPr/>
                  <a:lstStyle/>
                  <a:p>
                    <a:pPr>
                      <a:defRPr sz="800"/>
                    </a:pPr>
                    <a:r>
                      <a:rPr lang="pl-PL" sz="800"/>
                      <a:t>usługi</a:t>
                    </a:r>
                    <a:r>
                      <a:rPr lang="en-US" sz="800"/>
                      <a:t>
79%</a:t>
                    </a:r>
                  </a:p>
                </c:rich>
              </c:tx>
              <c:spPr/>
              <c:dLblPos val="bestFit"/>
              <c:showPercent val="1"/>
            </c:dLbl>
            <c:dLblPos val="bestFit"/>
            <c:showPercent val="1"/>
            <c:showLeaderLines val="1"/>
          </c:dLbls>
          <c:cat>
            <c:strRef>
              <c:f>firmy!$J$66:$T$66</c:f>
              <c:strCache>
                <c:ptCount val="11"/>
                <c:pt idx="0">
                  <c:v>rolnictwo, leśnictwo, łowiectwo i rybactwo</c:v>
                </c:pt>
                <c:pt idx="1">
                  <c:v>przemysł</c:v>
                </c:pt>
                <c:pt idx="2">
                  <c:v>budownictwo</c:v>
                </c:pt>
                <c:pt idx="3">
                  <c:v>handel; naprawa pojazdów samochodowych</c:v>
                </c:pt>
                <c:pt idx="4">
                  <c:v>transport i gospodarka magazynowa</c:v>
                </c:pt>
                <c:pt idx="5">
                  <c:v>pośrednictwo finansowe</c:v>
                </c:pt>
                <c:pt idx="6">
                  <c:v>obsługa rynku nieruchomości</c:v>
                </c:pt>
                <c:pt idx="7">
                  <c:v>działalność profesjonalna, naukowa i techniczna</c:v>
                </c:pt>
                <c:pt idx="8">
                  <c:v>edukacja</c:v>
                </c:pt>
                <c:pt idx="9">
                  <c:v>opieka zdrowotna i pomoc społeczna</c:v>
                </c:pt>
                <c:pt idx="10">
                  <c:v>pozostałe</c:v>
                </c:pt>
              </c:strCache>
            </c:strRef>
          </c:cat>
          <c:val>
            <c:numRef>
              <c:f>firmy!$J$67:$T$67</c:f>
              <c:numCache>
                <c:formatCode>0</c:formatCode>
                <c:ptCount val="11"/>
                <c:pt idx="0">
                  <c:v>41</c:v>
                </c:pt>
                <c:pt idx="1">
                  <c:v>363</c:v>
                </c:pt>
                <c:pt idx="2">
                  <c:v>373</c:v>
                </c:pt>
                <c:pt idx="3">
                  <c:v>1050</c:v>
                </c:pt>
                <c:pt idx="4">
                  <c:v>171</c:v>
                </c:pt>
                <c:pt idx="5">
                  <c:v>107</c:v>
                </c:pt>
                <c:pt idx="6">
                  <c:v>580</c:v>
                </c:pt>
                <c:pt idx="7">
                  <c:v>263</c:v>
                </c:pt>
                <c:pt idx="8">
                  <c:v>113</c:v>
                </c:pt>
                <c:pt idx="9">
                  <c:v>194</c:v>
                </c:pt>
                <c:pt idx="10">
                  <c:v>487</c:v>
                </c:pt>
              </c:numCache>
            </c:numRef>
          </c:val>
        </c:ser>
        <c:dLbls>
          <c:showPercent val="1"/>
        </c:dLbls>
        <c:gapWidth val="100"/>
        <c:splitType val="cust"/>
        <c:custSplit>
          <c:secondPiePt val="3"/>
          <c:secondPiePt val="4"/>
          <c:secondPiePt val="5"/>
          <c:secondPiePt val="6"/>
          <c:secondPiePt val="7"/>
          <c:secondPiePt val="8"/>
          <c:secondPiePt val="9"/>
          <c:secondPiePt val="10"/>
        </c:custSplit>
        <c:secondPieSize val="75"/>
        <c:serLines/>
      </c:ofPieChart>
    </c:plotArea>
    <c:legend>
      <c:legendPos val="r"/>
      <c:legendEntry>
        <c:idx val="0"/>
        <c:delete val="1"/>
      </c:legendEntry>
      <c:legendEntry>
        <c:idx val="1"/>
        <c:delete val="1"/>
      </c:legendEntry>
      <c:legendEntry>
        <c:idx val="2"/>
        <c:delete val="1"/>
      </c:legendEntry>
      <c:layout>
        <c:manualLayout>
          <c:xMode val="edge"/>
          <c:yMode val="edge"/>
          <c:x val="0.68875026296593767"/>
          <c:y val="0.14241199386379269"/>
          <c:w val="0.29802209853686157"/>
          <c:h val="0.70414433712809488"/>
        </c:manualLayout>
      </c:layout>
      <c:txPr>
        <a:bodyPr/>
        <a:lstStyle/>
        <a:p>
          <a:pPr>
            <a:defRPr sz="800"/>
          </a:pPr>
          <a:endParaRPr lang="pl-PL"/>
        </a:p>
      </c:txPr>
    </c:legend>
    <c:plotVisOnly val="1"/>
  </c:chart>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329093339432325"/>
          <c:y val="3.8990667856148714E-2"/>
          <c:w val="0.84983681406267164"/>
          <c:h val="0.74351049300476679"/>
        </c:manualLayout>
      </c:layout>
      <c:barChart>
        <c:barDir val="col"/>
        <c:grouping val="clustered"/>
        <c:ser>
          <c:idx val="0"/>
          <c:order val="0"/>
          <c:tx>
            <c:strRef>
              <c:f>mieszkania!$S$69</c:f>
              <c:strCache>
                <c:ptCount val="1"/>
                <c:pt idx="0">
                  <c:v>średnia dla miast o porównywalnej wielkości</c:v>
                </c:pt>
              </c:strCache>
            </c:strRef>
          </c:tx>
          <c:cat>
            <c:strRef>
              <c:f>mieszkania!$T$11:$Z$11</c:f>
              <c:strCache>
                <c:ptCount val="7"/>
                <c:pt idx="0">
                  <c:v>2003</c:v>
                </c:pt>
                <c:pt idx="1">
                  <c:v>2004</c:v>
                </c:pt>
                <c:pt idx="2">
                  <c:v>2005</c:v>
                </c:pt>
                <c:pt idx="3">
                  <c:v>2006</c:v>
                </c:pt>
                <c:pt idx="4">
                  <c:v>2007</c:v>
                </c:pt>
                <c:pt idx="5">
                  <c:v>2008</c:v>
                </c:pt>
                <c:pt idx="6">
                  <c:v>2009</c:v>
                </c:pt>
              </c:strCache>
            </c:strRef>
          </c:cat>
          <c:val>
            <c:numRef>
              <c:f>mieszkania!$T$69:$Z$69</c:f>
              <c:numCache>
                <c:formatCode>0.0</c:formatCode>
                <c:ptCount val="7"/>
                <c:pt idx="0">
                  <c:v>345.71953975543869</c:v>
                </c:pt>
                <c:pt idx="1">
                  <c:v>348.57361999187663</c:v>
                </c:pt>
                <c:pt idx="2">
                  <c:v>351.78828794477369</c:v>
                </c:pt>
                <c:pt idx="3">
                  <c:v>355.51042352825925</c:v>
                </c:pt>
                <c:pt idx="4">
                  <c:v>359.1225294412767</c:v>
                </c:pt>
                <c:pt idx="5">
                  <c:v>363.41048523655752</c:v>
                </c:pt>
                <c:pt idx="6">
                  <c:v>368.09037310286635</c:v>
                </c:pt>
              </c:numCache>
            </c:numRef>
          </c:val>
        </c:ser>
        <c:axId val="180391936"/>
        <c:axId val="180393472"/>
      </c:barChart>
      <c:lineChart>
        <c:grouping val="standard"/>
        <c:ser>
          <c:idx val="1"/>
          <c:order val="1"/>
          <c:tx>
            <c:strRef>
              <c:f>mieszkania!$S$70</c:f>
              <c:strCache>
                <c:ptCount val="1"/>
                <c:pt idx="0">
                  <c:v>Nowa Sól</c:v>
                </c:pt>
              </c:strCache>
            </c:strRef>
          </c:tx>
          <c:marker>
            <c:symbol val="square"/>
            <c:size val="6"/>
          </c:marker>
          <c:cat>
            <c:strRef>
              <c:f>mieszkania!$T$11:$Z$11</c:f>
              <c:strCache>
                <c:ptCount val="7"/>
                <c:pt idx="0">
                  <c:v>2003</c:v>
                </c:pt>
                <c:pt idx="1">
                  <c:v>2004</c:v>
                </c:pt>
                <c:pt idx="2">
                  <c:v>2005</c:v>
                </c:pt>
                <c:pt idx="3">
                  <c:v>2006</c:v>
                </c:pt>
                <c:pt idx="4">
                  <c:v>2007</c:v>
                </c:pt>
                <c:pt idx="5">
                  <c:v>2008</c:v>
                </c:pt>
                <c:pt idx="6">
                  <c:v>2009</c:v>
                </c:pt>
              </c:strCache>
            </c:strRef>
          </c:cat>
          <c:val>
            <c:numRef>
              <c:f>mieszkania!$T$70:$Z$70</c:f>
              <c:numCache>
                <c:formatCode>0.0</c:formatCode>
                <c:ptCount val="7"/>
                <c:pt idx="0">
                  <c:v>356.03479965690423</c:v>
                </c:pt>
                <c:pt idx="1">
                  <c:v>358.38093362221764</c:v>
                </c:pt>
                <c:pt idx="2">
                  <c:v>360.65857457170404</c:v>
                </c:pt>
                <c:pt idx="3">
                  <c:v>363.22403152650759</c:v>
                </c:pt>
                <c:pt idx="4">
                  <c:v>364.71464019851231</c:v>
                </c:pt>
                <c:pt idx="5">
                  <c:v>368.33574385317399</c:v>
                </c:pt>
                <c:pt idx="6">
                  <c:v>372.73751408186229</c:v>
                </c:pt>
              </c:numCache>
            </c:numRef>
          </c:val>
        </c:ser>
        <c:marker val="1"/>
        <c:axId val="180391936"/>
        <c:axId val="180393472"/>
      </c:lineChart>
      <c:catAx>
        <c:axId val="180391936"/>
        <c:scaling>
          <c:orientation val="minMax"/>
        </c:scaling>
        <c:axPos val="b"/>
        <c:numFmt formatCode="General" sourceLinked="1"/>
        <c:majorTickMark val="none"/>
        <c:tickLblPos val="nextTo"/>
        <c:txPr>
          <a:bodyPr/>
          <a:lstStyle/>
          <a:p>
            <a:pPr>
              <a:defRPr sz="900"/>
            </a:pPr>
            <a:endParaRPr lang="pl-PL"/>
          </a:p>
        </c:txPr>
        <c:crossAx val="180393472"/>
        <c:crosses val="autoZero"/>
        <c:auto val="1"/>
        <c:lblAlgn val="ctr"/>
        <c:lblOffset val="100"/>
      </c:catAx>
      <c:valAx>
        <c:axId val="180393472"/>
        <c:scaling>
          <c:orientation val="minMax"/>
          <c:max val="378"/>
          <c:min val="340"/>
        </c:scaling>
        <c:axPos val="l"/>
        <c:majorGridlines/>
        <c:title>
          <c:tx>
            <c:rich>
              <a:bodyPr/>
              <a:lstStyle/>
              <a:p>
                <a:pPr>
                  <a:defRPr sz="800" b="0"/>
                </a:pPr>
                <a:r>
                  <a:rPr lang="pl-PL" sz="800" b="0"/>
                  <a:t>liczba</a:t>
                </a:r>
              </a:p>
            </c:rich>
          </c:tx>
        </c:title>
        <c:numFmt formatCode="0" sourceLinked="0"/>
        <c:majorTickMark val="none"/>
        <c:tickLblPos val="nextTo"/>
        <c:txPr>
          <a:bodyPr/>
          <a:lstStyle/>
          <a:p>
            <a:pPr>
              <a:defRPr sz="900"/>
            </a:pPr>
            <a:endParaRPr lang="pl-PL"/>
          </a:p>
        </c:txPr>
        <c:crossAx val="180391936"/>
        <c:crosses val="autoZero"/>
        <c:crossBetween val="between"/>
        <c:majorUnit val="4"/>
        <c:minorUnit val="1"/>
      </c:valAx>
    </c:plotArea>
    <c:legend>
      <c:legendPos val="b"/>
      <c:txPr>
        <a:bodyPr/>
        <a:lstStyle/>
        <a:p>
          <a:pPr>
            <a:defRPr sz="900"/>
          </a:pPr>
          <a:endParaRPr lang="pl-PL"/>
        </a:p>
      </c:txPr>
    </c:legend>
    <c:plotVisOnly val="1"/>
    <c:dispBlanksAs val="gap"/>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1615806902641843"/>
          <c:y val="3.0322528922544348E-2"/>
          <c:w val="0.85642760075551305"/>
          <c:h val="0.7452066981483727"/>
        </c:manualLayout>
      </c:layout>
      <c:lineChart>
        <c:grouping val="standard"/>
        <c:ser>
          <c:idx val="0"/>
          <c:order val="0"/>
          <c:tx>
            <c:strRef>
              <c:f>'Portret (2)'!$B$31</c:f>
              <c:strCache>
                <c:ptCount val="1"/>
                <c:pt idx="0">
                  <c:v>   czytelnicy bibliotek w ciągu roku</c:v>
                </c:pt>
              </c:strCache>
            </c:strRef>
          </c:tx>
          <c:marker>
            <c:symbol val="diamond"/>
            <c:size val="7"/>
          </c:marker>
          <c:cat>
            <c:strRef>
              <c:f>'Portret (2)'!$C$30:$I$30</c:f>
              <c:strCache>
                <c:ptCount val="7"/>
                <c:pt idx="0">
                  <c:v>2003</c:v>
                </c:pt>
                <c:pt idx="1">
                  <c:v>2004</c:v>
                </c:pt>
                <c:pt idx="2">
                  <c:v>2005</c:v>
                </c:pt>
                <c:pt idx="3">
                  <c:v>2006</c:v>
                </c:pt>
                <c:pt idx="4">
                  <c:v>2007</c:v>
                </c:pt>
                <c:pt idx="5">
                  <c:v>2008</c:v>
                </c:pt>
                <c:pt idx="6">
                  <c:v>2009</c:v>
                </c:pt>
              </c:strCache>
            </c:strRef>
          </c:cat>
          <c:val>
            <c:numRef>
              <c:f>'Portret (2)'!$C$31:$I$31</c:f>
              <c:numCache>
                <c:formatCode>#,##0</c:formatCode>
                <c:ptCount val="7"/>
                <c:pt idx="0">
                  <c:v>8820</c:v>
                </c:pt>
                <c:pt idx="1">
                  <c:v>8576</c:v>
                </c:pt>
                <c:pt idx="2">
                  <c:v>7938</c:v>
                </c:pt>
                <c:pt idx="3">
                  <c:v>7592</c:v>
                </c:pt>
                <c:pt idx="4">
                  <c:v>7004</c:v>
                </c:pt>
                <c:pt idx="5">
                  <c:v>7117</c:v>
                </c:pt>
                <c:pt idx="6">
                  <c:v>6753</c:v>
                </c:pt>
              </c:numCache>
            </c:numRef>
          </c:val>
        </c:ser>
        <c:ser>
          <c:idx val="1"/>
          <c:order val="1"/>
          <c:tx>
            <c:strRef>
              <c:f>'Portret (2)'!$B$32</c:f>
              <c:strCache>
                <c:ptCount val="1"/>
                <c:pt idx="0">
                  <c:v>   widzowie w kinach</c:v>
                </c:pt>
              </c:strCache>
            </c:strRef>
          </c:tx>
          <c:marker>
            <c:symbol val="square"/>
            <c:size val="6"/>
          </c:marker>
          <c:cat>
            <c:strRef>
              <c:f>'Portret (2)'!$C$30:$I$30</c:f>
              <c:strCache>
                <c:ptCount val="7"/>
                <c:pt idx="0">
                  <c:v>2003</c:v>
                </c:pt>
                <c:pt idx="1">
                  <c:v>2004</c:v>
                </c:pt>
                <c:pt idx="2">
                  <c:v>2005</c:v>
                </c:pt>
                <c:pt idx="3">
                  <c:v>2006</c:v>
                </c:pt>
                <c:pt idx="4">
                  <c:v>2007</c:v>
                </c:pt>
                <c:pt idx="5">
                  <c:v>2008</c:v>
                </c:pt>
                <c:pt idx="6">
                  <c:v>2009</c:v>
                </c:pt>
              </c:strCache>
            </c:strRef>
          </c:cat>
          <c:val>
            <c:numRef>
              <c:f>'Portret (2)'!$C$32:$I$32</c:f>
              <c:numCache>
                <c:formatCode>#,##0</c:formatCode>
                <c:ptCount val="7"/>
                <c:pt idx="0">
                  <c:v>10479</c:v>
                </c:pt>
                <c:pt idx="1">
                  <c:v>23368</c:v>
                </c:pt>
                <c:pt idx="2">
                  <c:v>9116</c:v>
                </c:pt>
                <c:pt idx="3">
                  <c:v>14490</c:v>
                </c:pt>
                <c:pt idx="4">
                  <c:v>14767</c:v>
                </c:pt>
                <c:pt idx="5">
                  <c:v>15500</c:v>
                </c:pt>
                <c:pt idx="6">
                  <c:v>9924</c:v>
                </c:pt>
              </c:numCache>
            </c:numRef>
          </c:val>
        </c:ser>
        <c:ser>
          <c:idx val="2"/>
          <c:order val="2"/>
          <c:tx>
            <c:strRef>
              <c:f>'Portret (2)'!$B$33</c:f>
              <c:strCache>
                <c:ptCount val="1"/>
                <c:pt idx="0">
                  <c:v>   zwiedzający muzea i oddziały</c:v>
                </c:pt>
              </c:strCache>
            </c:strRef>
          </c:tx>
          <c:marker>
            <c:symbol val="triangle"/>
            <c:size val="7"/>
          </c:marker>
          <c:cat>
            <c:strRef>
              <c:f>'Portret (2)'!$C$30:$I$30</c:f>
              <c:strCache>
                <c:ptCount val="7"/>
                <c:pt idx="0">
                  <c:v>2003</c:v>
                </c:pt>
                <c:pt idx="1">
                  <c:v>2004</c:v>
                </c:pt>
                <c:pt idx="2">
                  <c:v>2005</c:v>
                </c:pt>
                <c:pt idx="3">
                  <c:v>2006</c:v>
                </c:pt>
                <c:pt idx="4">
                  <c:v>2007</c:v>
                </c:pt>
                <c:pt idx="5">
                  <c:v>2008</c:v>
                </c:pt>
                <c:pt idx="6">
                  <c:v>2009</c:v>
                </c:pt>
              </c:strCache>
            </c:strRef>
          </c:cat>
          <c:val>
            <c:numRef>
              <c:f>'Portret (2)'!$C$33:$I$33</c:f>
              <c:numCache>
                <c:formatCode>#,##0</c:formatCode>
                <c:ptCount val="7"/>
                <c:pt idx="0">
                  <c:v>4835</c:v>
                </c:pt>
                <c:pt idx="1">
                  <c:v>4287</c:v>
                </c:pt>
                <c:pt idx="2">
                  <c:v>4718</c:v>
                </c:pt>
                <c:pt idx="3">
                  <c:v>2583</c:v>
                </c:pt>
                <c:pt idx="4">
                  <c:v>4086</c:v>
                </c:pt>
                <c:pt idx="5">
                  <c:v>5102</c:v>
                </c:pt>
                <c:pt idx="6">
                  <c:v>4487</c:v>
                </c:pt>
              </c:numCache>
            </c:numRef>
          </c:val>
        </c:ser>
        <c:marker val="1"/>
        <c:axId val="180423296"/>
        <c:axId val="180433280"/>
      </c:lineChart>
      <c:catAx>
        <c:axId val="180423296"/>
        <c:scaling>
          <c:orientation val="minMax"/>
        </c:scaling>
        <c:axPos val="b"/>
        <c:majorTickMark val="none"/>
        <c:tickLblPos val="nextTo"/>
        <c:txPr>
          <a:bodyPr/>
          <a:lstStyle/>
          <a:p>
            <a:pPr>
              <a:defRPr sz="900"/>
            </a:pPr>
            <a:endParaRPr lang="pl-PL"/>
          </a:p>
        </c:txPr>
        <c:crossAx val="180433280"/>
        <c:crosses val="autoZero"/>
        <c:auto val="1"/>
        <c:lblAlgn val="ctr"/>
        <c:lblOffset val="100"/>
      </c:catAx>
      <c:valAx>
        <c:axId val="180433280"/>
        <c:scaling>
          <c:orientation val="minMax"/>
        </c:scaling>
        <c:axPos val="l"/>
        <c:majorGridlines/>
        <c:title>
          <c:tx>
            <c:rich>
              <a:bodyPr/>
              <a:lstStyle/>
              <a:p>
                <a:pPr>
                  <a:defRPr sz="900" b="0"/>
                </a:pPr>
                <a:r>
                  <a:rPr lang="en-US" sz="900" b="0"/>
                  <a:t>w osobach</a:t>
                </a:r>
              </a:p>
            </c:rich>
          </c:tx>
        </c:title>
        <c:numFmt formatCode="#,##0" sourceLinked="1"/>
        <c:majorTickMark val="none"/>
        <c:tickLblPos val="nextTo"/>
        <c:txPr>
          <a:bodyPr/>
          <a:lstStyle/>
          <a:p>
            <a:pPr>
              <a:defRPr sz="800"/>
            </a:pPr>
            <a:endParaRPr lang="pl-PL"/>
          </a:p>
        </c:txPr>
        <c:crossAx val="180423296"/>
        <c:crosses val="autoZero"/>
        <c:crossBetween val="between"/>
      </c:valAx>
    </c:plotArea>
    <c:legend>
      <c:legendPos val="b"/>
      <c:layout>
        <c:manualLayout>
          <c:xMode val="edge"/>
          <c:yMode val="edge"/>
          <c:x val="1.6049647999607525E-2"/>
          <c:y val="0.88508932109981953"/>
          <c:w val="0.96790050776363235"/>
          <c:h val="9.2118656108157379E-2"/>
        </c:manualLayout>
      </c:layout>
      <c:txPr>
        <a:bodyPr/>
        <a:lstStyle/>
        <a:p>
          <a:pPr>
            <a:defRPr sz="900"/>
          </a:pPr>
          <a:endParaRPr lang="pl-PL"/>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800" b="1" i="0" u="none" strike="noStrike" kern="1200" baseline="0">
                <a:solidFill>
                  <a:sysClr val="windowText" lastClr="000000"/>
                </a:solidFill>
                <a:latin typeface="+mn-lt"/>
                <a:ea typeface="+mn-ea"/>
                <a:cs typeface="+mn-cs"/>
              </a:defRPr>
            </a:pPr>
            <a:r>
              <a:rPr lang="en-US" sz="800"/>
              <a:t> </a:t>
            </a:r>
          </a:p>
        </c:rich>
      </c:tx>
    </c:title>
    <c:plotArea>
      <c:layout>
        <c:manualLayout>
          <c:layoutTarget val="inner"/>
          <c:xMode val="edge"/>
          <c:yMode val="edge"/>
          <c:x val="8.8620437315224884E-2"/>
          <c:y val="4.8808957312806184E-2"/>
          <c:w val="0.8841181004790758"/>
          <c:h val="0.62543317004898535"/>
        </c:manualLayout>
      </c:layout>
      <c:barChart>
        <c:barDir val="col"/>
        <c:grouping val="clustered"/>
        <c:ser>
          <c:idx val="0"/>
          <c:order val="0"/>
          <c:tx>
            <c:strRef>
              <c:f>Arkusz1!$B$1</c:f>
              <c:strCache>
                <c:ptCount val="1"/>
                <c:pt idx="0">
                  <c:v>uczestnicy imprez i wydarzeń organizowanych przez lokalne ośrodki kultury </c:v>
                </c:pt>
              </c:strCache>
            </c:strRef>
          </c:tx>
          <c:cat>
            <c:strRef>
              <c:f>Arkusz1!$A$2:$A$5</c:f>
              <c:strCache>
                <c:ptCount val="4"/>
                <c:pt idx="0">
                  <c:v>Nowa Sól</c:v>
                </c:pt>
                <c:pt idx="1">
                  <c:v>Średnia miast o porównywalnej liczbie mieszkańców</c:v>
                </c:pt>
                <c:pt idx="2">
                  <c:v> Województwo lubuskie</c:v>
                </c:pt>
                <c:pt idx="3">
                  <c:v> Polska</c:v>
                </c:pt>
              </c:strCache>
            </c:strRef>
          </c:cat>
          <c:val>
            <c:numRef>
              <c:f>Arkusz1!$B$2:$B$5</c:f>
              <c:numCache>
                <c:formatCode>General</c:formatCode>
                <c:ptCount val="4"/>
                <c:pt idx="0">
                  <c:v>223</c:v>
                </c:pt>
                <c:pt idx="1">
                  <c:v>1317</c:v>
                </c:pt>
                <c:pt idx="2">
                  <c:v>961</c:v>
                </c:pt>
                <c:pt idx="3">
                  <c:v>902</c:v>
                </c:pt>
              </c:numCache>
            </c:numRef>
          </c:val>
        </c:ser>
        <c:ser>
          <c:idx val="1"/>
          <c:order val="1"/>
          <c:tx>
            <c:strRef>
              <c:f>Arkusz1!$C$1</c:f>
              <c:strCache>
                <c:ptCount val="1"/>
                <c:pt idx="0">
                  <c:v>czytelnicy bibliotek</c:v>
                </c:pt>
              </c:strCache>
            </c:strRef>
          </c:tx>
          <c:cat>
            <c:strRef>
              <c:f>Arkusz1!$A$2:$A$5</c:f>
              <c:strCache>
                <c:ptCount val="4"/>
                <c:pt idx="0">
                  <c:v>Nowa Sól</c:v>
                </c:pt>
                <c:pt idx="1">
                  <c:v>Średnia miast o porównywalnej liczbie mieszkańców</c:v>
                </c:pt>
                <c:pt idx="2">
                  <c:v> Województwo lubuskie</c:v>
                </c:pt>
                <c:pt idx="3">
                  <c:v> Polska</c:v>
                </c:pt>
              </c:strCache>
            </c:strRef>
          </c:cat>
          <c:val>
            <c:numRef>
              <c:f>Arkusz1!$C$2:$C$5</c:f>
              <c:numCache>
                <c:formatCode>General</c:formatCode>
                <c:ptCount val="4"/>
                <c:pt idx="0">
                  <c:v>169</c:v>
                </c:pt>
                <c:pt idx="1">
                  <c:v>216</c:v>
                </c:pt>
                <c:pt idx="2">
                  <c:v>179</c:v>
                </c:pt>
                <c:pt idx="3">
                  <c:v>172</c:v>
                </c:pt>
              </c:numCache>
            </c:numRef>
          </c:val>
        </c:ser>
        <c:ser>
          <c:idx val="2"/>
          <c:order val="2"/>
          <c:tx>
            <c:strRef>
              <c:f>Arkusz1!$D$1</c:f>
              <c:strCache>
                <c:ptCount val="1"/>
                <c:pt idx="0">
                  <c:v>zwiedzajacy muzea i oddziały </c:v>
                </c:pt>
              </c:strCache>
            </c:strRef>
          </c:tx>
          <c:cat>
            <c:strRef>
              <c:f>Arkusz1!$A$2:$A$5</c:f>
              <c:strCache>
                <c:ptCount val="4"/>
                <c:pt idx="0">
                  <c:v>Nowa Sól</c:v>
                </c:pt>
                <c:pt idx="1">
                  <c:v>Średnia miast o porównywalnej liczbie mieszkańców</c:v>
                </c:pt>
                <c:pt idx="2">
                  <c:v> Województwo lubuskie</c:v>
                </c:pt>
                <c:pt idx="3">
                  <c:v> Polska</c:v>
                </c:pt>
              </c:strCache>
            </c:strRef>
          </c:cat>
          <c:val>
            <c:numRef>
              <c:f>Arkusz1!$D$2:$D$5</c:f>
              <c:numCache>
                <c:formatCode>General</c:formatCode>
                <c:ptCount val="4"/>
                <c:pt idx="0">
                  <c:v>112</c:v>
                </c:pt>
                <c:pt idx="1">
                  <c:v>1498</c:v>
                </c:pt>
                <c:pt idx="2">
                  <c:v>164</c:v>
                </c:pt>
                <c:pt idx="3">
                  <c:v>541</c:v>
                </c:pt>
              </c:numCache>
            </c:numRef>
          </c:val>
        </c:ser>
        <c:gapWidth val="75"/>
        <c:overlap val="-25"/>
        <c:axId val="180467200"/>
        <c:axId val="180468736"/>
      </c:barChart>
      <c:catAx>
        <c:axId val="180467200"/>
        <c:scaling>
          <c:orientation val="minMax"/>
        </c:scaling>
        <c:axPos val="b"/>
        <c:majorTickMark val="none"/>
        <c:tickLblPos val="nextTo"/>
        <c:txPr>
          <a:bodyPr/>
          <a:lstStyle/>
          <a:p>
            <a:pPr>
              <a:defRPr sz="800"/>
            </a:pPr>
            <a:endParaRPr lang="pl-PL"/>
          </a:p>
        </c:txPr>
        <c:crossAx val="180468736"/>
        <c:crosses val="autoZero"/>
        <c:auto val="1"/>
        <c:lblAlgn val="ctr"/>
        <c:lblOffset val="100"/>
      </c:catAx>
      <c:valAx>
        <c:axId val="180468736"/>
        <c:scaling>
          <c:orientation val="minMax"/>
        </c:scaling>
        <c:axPos val="l"/>
        <c:majorGridlines/>
        <c:numFmt formatCode="General" sourceLinked="1"/>
        <c:majorTickMark val="none"/>
        <c:tickLblPos val="nextTo"/>
        <c:spPr>
          <a:ln w="9525">
            <a:noFill/>
          </a:ln>
        </c:spPr>
        <c:txPr>
          <a:bodyPr/>
          <a:lstStyle/>
          <a:p>
            <a:pPr>
              <a:defRPr sz="800"/>
            </a:pPr>
            <a:endParaRPr lang="pl-PL"/>
          </a:p>
        </c:txPr>
        <c:crossAx val="180467200"/>
        <c:crosses val="autoZero"/>
        <c:crossBetween val="between"/>
      </c:valAx>
    </c:plotArea>
    <c:legend>
      <c:legendPos val="b"/>
      <c:layout>
        <c:manualLayout>
          <c:xMode val="edge"/>
          <c:yMode val="edge"/>
          <c:x val="0.19368205368380967"/>
          <c:y val="0.85558073786770716"/>
          <c:w val="0.63246221545726511"/>
          <c:h val="0.14441926213229539"/>
        </c:manualLayout>
      </c:layout>
      <c:txPr>
        <a:bodyPr/>
        <a:lstStyle/>
        <a:p>
          <a:pPr>
            <a:defRPr sz="800"/>
          </a:pPr>
          <a:endParaRPr lang="pl-PL"/>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ok!$C$55</c:f>
              <c:strCache>
                <c:ptCount val="1"/>
                <c:pt idx="0">
                  <c:v>2009</c:v>
                </c:pt>
              </c:strCache>
            </c:strRef>
          </c:tx>
          <c:cat>
            <c:strRef>
              <c:f>ok!$B$56:$B$59</c:f>
              <c:strCache>
                <c:ptCount val="4"/>
                <c:pt idx="0">
                  <c:v> Nowa Sól</c:v>
                </c:pt>
                <c:pt idx="1">
                  <c:v>Średnia miast o porównywalnej liczbie mieszkańców</c:v>
                </c:pt>
                <c:pt idx="2">
                  <c:v>Województwo lubuskie</c:v>
                </c:pt>
                <c:pt idx="3">
                  <c:v>Polska</c:v>
                </c:pt>
              </c:strCache>
            </c:strRef>
          </c:cat>
          <c:val>
            <c:numRef>
              <c:f>ok!$C$56:$C$59</c:f>
              <c:numCache>
                <c:formatCode>General</c:formatCode>
                <c:ptCount val="4"/>
                <c:pt idx="0">
                  <c:v>112</c:v>
                </c:pt>
                <c:pt idx="1">
                  <c:v>1498</c:v>
                </c:pt>
                <c:pt idx="2">
                  <c:v>164</c:v>
                </c:pt>
                <c:pt idx="3">
                  <c:v>541</c:v>
                </c:pt>
              </c:numCache>
            </c:numRef>
          </c:val>
        </c:ser>
        <c:axId val="180497024"/>
        <c:axId val="180507008"/>
      </c:barChart>
      <c:catAx>
        <c:axId val="180497024"/>
        <c:scaling>
          <c:orientation val="minMax"/>
        </c:scaling>
        <c:axPos val="b"/>
        <c:numFmt formatCode="General" sourceLinked="1"/>
        <c:majorTickMark val="none"/>
        <c:tickLblPos val="nextTo"/>
        <c:txPr>
          <a:bodyPr/>
          <a:lstStyle/>
          <a:p>
            <a:pPr>
              <a:defRPr sz="800"/>
            </a:pPr>
            <a:endParaRPr lang="pl-PL"/>
          </a:p>
        </c:txPr>
        <c:crossAx val="180507008"/>
        <c:crosses val="autoZero"/>
        <c:auto val="1"/>
        <c:lblAlgn val="ctr"/>
        <c:lblOffset val="100"/>
      </c:catAx>
      <c:valAx>
        <c:axId val="180507008"/>
        <c:scaling>
          <c:orientation val="minMax"/>
        </c:scaling>
        <c:axPos val="l"/>
        <c:majorGridlines/>
        <c:numFmt formatCode="General" sourceLinked="1"/>
        <c:majorTickMark val="none"/>
        <c:tickLblPos val="nextTo"/>
        <c:txPr>
          <a:bodyPr/>
          <a:lstStyle/>
          <a:p>
            <a:pPr>
              <a:defRPr sz="800"/>
            </a:pPr>
            <a:endParaRPr lang="pl-PL"/>
          </a:p>
        </c:txPr>
        <c:crossAx val="180497024"/>
        <c:crosses val="autoZero"/>
        <c:crossBetween val="between"/>
      </c:valAx>
    </c:plotArea>
    <c:plotVisOnly val="1"/>
    <c:dispBlanksAs val="gap"/>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cat>
            <c:strRef>
              <c:f>ok!$B$76:$B$79</c:f>
              <c:strCache>
                <c:ptCount val="4"/>
                <c:pt idx="0">
                  <c:v> Nowa Sól </c:v>
                </c:pt>
                <c:pt idx="1">
                  <c:v>Średnia miast o porównywalnej liczbie mieszkańców</c:v>
                </c:pt>
                <c:pt idx="2">
                  <c:v>Województwo lubuskie</c:v>
                </c:pt>
                <c:pt idx="3">
                  <c:v>Polska</c:v>
                </c:pt>
              </c:strCache>
            </c:strRef>
          </c:cat>
          <c:val>
            <c:numRef>
              <c:f>ok!$C$76:$C$79</c:f>
              <c:numCache>
                <c:formatCode>General</c:formatCode>
                <c:ptCount val="4"/>
                <c:pt idx="0">
                  <c:v>169</c:v>
                </c:pt>
                <c:pt idx="1">
                  <c:v>216</c:v>
                </c:pt>
                <c:pt idx="2">
                  <c:v>179</c:v>
                </c:pt>
                <c:pt idx="3">
                  <c:v>172</c:v>
                </c:pt>
              </c:numCache>
            </c:numRef>
          </c:val>
        </c:ser>
        <c:axId val="180513792"/>
        <c:axId val="180515584"/>
      </c:barChart>
      <c:catAx>
        <c:axId val="180513792"/>
        <c:scaling>
          <c:orientation val="minMax"/>
        </c:scaling>
        <c:axPos val="b"/>
        <c:numFmt formatCode="General" sourceLinked="1"/>
        <c:majorTickMark val="none"/>
        <c:tickLblPos val="nextTo"/>
        <c:txPr>
          <a:bodyPr/>
          <a:lstStyle/>
          <a:p>
            <a:pPr>
              <a:defRPr sz="800"/>
            </a:pPr>
            <a:endParaRPr lang="pl-PL"/>
          </a:p>
        </c:txPr>
        <c:crossAx val="180515584"/>
        <c:crosses val="autoZero"/>
        <c:auto val="1"/>
        <c:lblAlgn val="ctr"/>
        <c:lblOffset val="100"/>
      </c:catAx>
      <c:valAx>
        <c:axId val="180515584"/>
        <c:scaling>
          <c:orientation val="minMax"/>
        </c:scaling>
        <c:axPos val="l"/>
        <c:majorGridlines/>
        <c:numFmt formatCode="General" sourceLinked="1"/>
        <c:majorTickMark val="none"/>
        <c:tickLblPos val="nextTo"/>
        <c:txPr>
          <a:bodyPr/>
          <a:lstStyle/>
          <a:p>
            <a:pPr>
              <a:defRPr sz="800"/>
            </a:pPr>
            <a:endParaRPr lang="pl-PL"/>
          </a:p>
        </c:txPr>
        <c:crossAx val="180513792"/>
        <c:crosses val="autoZero"/>
        <c:crossBetween val="between"/>
      </c:valAx>
    </c:plotArea>
    <c:plotVisOnly val="1"/>
    <c:dispBlanksAs val="gap"/>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cat>
            <c:strRef>
              <c:f>ok!$B$72:$B$75</c:f>
              <c:strCache>
                <c:ptCount val="4"/>
                <c:pt idx="0">
                  <c:v>Nowa Sól</c:v>
                </c:pt>
                <c:pt idx="1">
                  <c:v>Średnia miast o porównywalnej liczbie mieszkańców</c:v>
                </c:pt>
                <c:pt idx="2">
                  <c:v>Województwo lubuskie</c:v>
                </c:pt>
                <c:pt idx="3">
                  <c:v>Polska</c:v>
                </c:pt>
              </c:strCache>
            </c:strRef>
          </c:cat>
          <c:val>
            <c:numRef>
              <c:f>ok!$C$72:$C$75</c:f>
              <c:numCache>
                <c:formatCode>General</c:formatCode>
                <c:ptCount val="4"/>
                <c:pt idx="0">
                  <c:v>223</c:v>
                </c:pt>
                <c:pt idx="1">
                  <c:v>1317</c:v>
                </c:pt>
                <c:pt idx="2">
                  <c:v>961</c:v>
                </c:pt>
                <c:pt idx="3">
                  <c:v>902</c:v>
                </c:pt>
              </c:numCache>
            </c:numRef>
          </c:val>
        </c:ser>
        <c:axId val="180530560"/>
        <c:axId val="180532352"/>
      </c:barChart>
      <c:catAx>
        <c:axId val="180530560"/>
        <c:scaling>
          <c:orientation val="minMax"/>
        </c:scaling>
        <c:axPos val="b"/>
        <c:numFmt formatCode="General" sourceLinked="1"/>
        <c:majorTickMark val="none"/>
        <c:tickLblPos val="nextTo"/>
        <c:txPr>
          <a:bodyPr/>
          <a:lstStyle/>
          <a:p>
            <a:pPr>
              <a:defRPr sz="900"/>
            </a:pPr>
            <a:endParaRPr lang="pl-PL"/>
          </a:p>
        </c:txPr>
        <c:crossAx val="180532352"/>
        <c:crosses val="autoZero"/>
        <c:auto val="1"/>
        <c:lblAlgn val="ctr"/>
        <c:lblOffset val="100"/>
      </c:catAx>
      <c:valAx>
        <c:axId val="180532352"/>
        <c:scaling>
          <c:orientation val="minMax"/>
        </c:scaling>
        <c:axPos val="l"/>
        <c:majorGridlines/>
        <c:numFmt formatCode="General" sourceLinked="1"/>
        <c:majorTickMark val="none"/>
        <c:tickLblPos val="nextTo"/>
        <c:txPr>
          <a:bodyPr/>
          <a:lstStyle/>
          <a:p>
            <a:pPr>
              <a:defRPr sz="900"/>
            </a:pPr>
            <a:endParaRPr lang="pl-PL"/>
          </a:p>
        </c:txPr>
        <c:crossAx val="180530560"/>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bar"/>
        <c:grouping val="clustered"/>
        <c:ser>
          <c:idx val="0"/>
          <c:order val="0"/>
          <c:cat>
            <c:strRef>
              <c:f>'Dane wg podgr. cech'!$B$9:$B$12</c:f>
              <c:strCache>
                <c:ptCount val="4"/>
                <c:pt idx="0">
                  <c:v>Polska</c:v>
                </c:pt>
                <c:pt idx="1">
                  <c:v>woj. lubuskie</c:v>
                </c:pt>
                <c:pt idx="2">
                  <c:v>Nowa Sól</c:v>
                </c:pt>
                <c:pt idx="3">
                  <c:v>średnia miast</c:v>
                </c:pt>
              </c:strCache>
            </c:strRef>
          </c:cat>
          <c:val>
            <c:numRef>
              <c:f>'Dane wg podgr. cech'!$C$9:$C$12</c:f>
              <c:numCache>
                <c:formatCode>#,##0.0</c:formatCode>
                <c:ptCount val="4"/>
                <c:pt idx="0">
                  <c:v>55</c:v>
                </c:pt>
                <c:pt idx="1">
                  <c:v>52</c:v>
                </c:pt>
                <c:pt idx="2">
                  <c:v>53.8</c:v>
                </c:pt>
                <c:pt idx="3">
                  <c:v>53.378947368421038</c:v>
                </c:pt>
              </c:numCache>
            </c:numRef>
          </c:val>
        </c:ser>
        <c:axId val="166901248"/>
        <c:axId val="166902784"/>
      </c:barChart>
      <c:catAx>
        <c:axId val="166901248"/>
        <c:scaling>
          <c:orientation val="minMax"/>
        </c:scaling>
        <c:axPos val="l"/>
        <c:numFmt formatCode="General" sourceLinked="1"/>
        <c:majorTickMark val="none"/>
        <c:tickLblPos val="nextTo"/>
        <c:txPr>
          <a:bodyPr rot="0" vert="horz"/>
          <a:lstStyle/>
          <a:p>
            <a:pPr>
              <a:defRPr sz="900"/>
            </a:pPr>
            <a:endParaRPr lang="pl-PL"/>
          </a:p>
        </c:txPr>
        <c:crossAx val="166902784"/>
        <c:crosses val="autoZero"/>
        <c:auto val="1"/>
        <c:lblAlgn val="ctr"/>
        <c:lblOffset val="100"/>
      </c:catAx>
      <c:valAx>
        <c:axId val="166902784"/>
        <c:scaling>
          <c:orientation val="minMax"/>
          <c:max val="56"/>
          <c:min val="50"/>
        </c:scaling>
        <c:axPos val="b"/>
        <c:majorGridlines/>
        <c:minorGridlines/>
        <c:numFmt formatCode="#,##0" sourceLinked="0"/>
        <c:majorTickMark val="none"/>
        <c:tickLblPos val="nextTo"/>
        <c:txPr>
          <a:bodyPr rot="0" vert="horz"/>
          <a:lstStyle/>
          <a:p>
            <a:pPr>
              <a:defRPr sz="900"/>
            </a:pPr>
            <a:endParaRPr lang="pl-PL"/>
          </a:p>
        </c:txPr>
        <c:crossAx val="166901248"/>
        <c:crosses val="autoZero"/>
        <c:crossBetween val="between"/>
        <c:majorUnit val="1"/>
        <c:minorUnit val="0.5"/>
      </c:valAx>
    </c:plotArea>
    <c:plotVisOnly val="1"/>
    <c:dispBlanksAs val="gap"/>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2268136627943934E-2"/>
          <c:y val="4.8897735828319709E-2"/>
          <c:w val="0.87907040869962461"/>
          <c:h val="0.57117805741231265"/>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Zbiorczy!$C$5:$D$5</c:f>
              <c:numCache>
                <c:formatCode>0%</c:formatCode>
                <c:ptCount val="2"/>
                <c:pt idx="0">
                  <c:v>0.43497109826590047</c:v>
                </c:pt>
                <c:pt idx="1">
                  <c:v>0.56502890173410403</c:v>
                </c:pt>
              </c:numCache>
            </c:numRef>
          </c:val>
        </c:ser>
        <c:ser>
          <c:idx val="1"/>
          <c:order val="1"/>
          <c:tx>
            <c:v>Kobiety</c:v>
          </c:tx>
          <c:dLbls>
            <c:txPr>
              <a:bodyPr rot="-5400000" vert="horz"/>
              <a:lstStyle/>
              <a:p>
                <a:pPr>
                  <a:defRPr sz="900"/>
                </a:pPr>
                <a:endParaRPr lang="pl-PL"/>
              </a:p>
            </c:txPr>
            <c:showSerName val="1"/>
          </c:dLbls>
          <c:val>
            <c:numRef>
              <c:f>Zbiorczy!$F$5:$G$5</c:f>
              <c:numCache>
                <c:formatCode>0%</c:formatCode>
                <c:ptCount val="2"/>
                <c:pt idx="0">
                  <c:v>0.48855835240274598</c:v>
                </c:pt>
                <c:pt idx="1">
                  <c:v>0.51144164759725397</c:v>
                </c:pt>
              </c:numCache>
            </c:numRef>
          </c:val>
        </c:ser>
        <c:ser>
          <c:idx val="9"/>
          <c:order val="2"/>
          <c:val>
            <c:numLit>
              <c:formatCode>General</c:formatCode>
              <c:ptCount val="1"/>
              <c:pt idx="0">
                <c:v>0</c:v>
              </c:pt>
            </c:numLit>
          </c:val>
        </c:ser>
        <c:ser>
          <c:idx val="2"/>
          <c:order val="3"/>
          <c:tx>
            <c:v>Wykształcenie wyższe</c:v>
          </c:tx>
          <c:val>
            <c:numRef>
              <c:f>Zbiorczy!$I$5:$J$5</c:f>
              <c:numCache>
                <c:formatCode>0%</c:formatCode>
                <c:ptCount val="2"/>
                <c:pt idx="0">
                  <c:v>0.68510638297872339</c:v>
                </c:pt>
                <c:pt idx="1">
                  <c:v>0.31489361702127688</c:v>
                </c:pt>
              </c:numCache>
            </c:numRef>
          </c:val>
        </c:ser>
        <c:ser>
          <c:idx val="3"/>
          <c:order val="4"/>
          <c:tx>
            <c:v>Wykształcenie średnie i policealne</c:v>
          </c:tx>
          <c:val>
            <c:numRef>
              <c:f>Zbiorczy!$L$5:$M$5</c:f>
              <c:numCache>
                <c:formatCode>0%</c:formatCode>
                <c:ptCount val="2"/>
                <c:pt idx="0">
                  <c:v>0.46088794926004889</c:v>
                </c:pt>
                <c:pt idx="1">
                  <c:v>0.53911205073994872</c:v>
                </c:pt>
              </c:numCache>
            </c:numRef>
          </c:val>
        </c:ser>
        <c:ser>
          <c:idx val="4"/>
          <c:order val="5"/>
          <c:tx>
            <c:v>Wykształcenie zasadnicze zawodowe i poniżej</c:v>
          </c:tx>
          <c:val>
            <c:numRef>
              <c:f>Zbiorczy!$O$5:$P$5</c:f>
              <c:numCache>
                <c:formatCode>0%</c:formatCode>
                <c:ptCount val="2"/>
                <c:pt idx="0">
                  <c:v>0.40606767794632437</c:v>
                </c:pt>
                <c:pt idx="1">
                  <c:v>0.59393232205367552</c:v>
                </c:pt>
              </c:numCache>
            </c:numRef>
          </c:val>
        </c:ser>
        <c:ser>
          <c:idx val="10"/>
          <c:order val="6"/>
          <c:val>
            <c:numLit>
              <c:formatCode>General</c:formatCode>
              <c:ptCount val="1"/>
              <c:pt idx="0">
                <c:v>0</c:v>
              </c:pt>
            </c:numLit>
          </c:val>
        </c:ser>
        <c:ser>
          <c:idx val="5"/>
          <c:order val="7"/>
          <c:tx>
            <c:v>Wiek: 18-29</c:v>
          </c:tx>
          <c:val>
            <c:numRef>
              <c:f>Zbiorczy!$R$5:$S$5</c:f>
              <c:numCache>
                <c:formatCode>0%</c:formatCode>
                <c:ptCount val="2"/>
                <c:pt idx="0">
                  <c:v>0.43250688705234847</c:v>
                </c:pt>
                <c:pt idx="1">
                  <c:v>0.56749311294765836</c:v>
                </c:pt>
              </c:numCache>
            </c:numRef>
          </c:val>
        </c:ser>
        <c:ser>
          <c:idx val="6"/>
          <c:order val="8"/>
          <c:tx>
            <c:v>Wiek: 30-39</c:v>
          </c:tx>
          <c:val>
            <c:numRef>
              <c:f>Zbiorczy!$U$5:$V$5</c:f>
              <c:numCache>
                <c:formatCode>0%</c:formatCode>
                <c:ptCount val="2"/>
                <c:pt idx="0">
                  <c:v>0.54819277108433739</c:v>
                </c:pt>
                <c:pt idx="1">
                  <c:v>0.45180722891566288</c:v>
                </c:pt>
              </c:numCache>
            </c:numRef>
          </c:val>
        </c:ser>
        <c:ser>
          <c:idx val="7"/>
          <c:order val="9"/>
          <c:tx>
            <c:v>Wiek: 40-59</c:v>
          </c:tx>
          <c:val>
            <c:numRef>
              <c:f>Zbiorczy!$X$5:$Y$5</c:f>
              <c:numCache>
                <c:formatCode>0%</c:formatCode>
                <c:ptCount val="2"/>
                <c:pt idx="0">
                  <c:v>0.4539579967689823</c:v>
                </c:pt>
                <c:pt idx="1">
                  <c:v>0.54604200323101781</c:v>
                </c:pt>
              </c:numCache>
            </c:numRef>
          </c:val>
        </c:ser>
        <c:ser>
          <c:idx val="8"/>
          <c:order val="10"/>
          <c:tx>
            <c:v>Wiek: 60 i powyżej</c:v>
          </c:tx>
          <c:val>
            <c:numRef>
              <c:f>Zbiorczy!$AA$5:$AB$5</c:f>
              <c:numCache>
                <c:formatCode>0%</c:formatCode>
                <c:ptCount val="2"/>
                <c:pt idx="0">
                  <c:v>0.41935483870968293</c:v>
                </c:pt>
                <c:pt idx="1">
                  <c:v>0.58064516129032251</c:v>
                </c:pt>
              </c:numCache>
            </c:numRef>
          </c:val>
        </c:ser>
        <c:gapWidth val="136"/>
        <c:overlap val="-15"/>
        <c:axId val="180794496"/>
        <c:axId val="180796032"/>
      </c:barChart>
      <c:catAx>
        <c:axId val="180794496"/>
        <c:scaling>
          <c:orientation val="minMax"/>
        </c:scaling>
        <c:axPos val="b"/>
        <c:majorGridlines/>
        <c:tickLblPos val="nextTo"/>
        <c:txPr>
          <a:bodyPr/>
          <a:lstStyle/>
          <a:p>
            <a:pPr>
              <a:defRPr sz="900"/>
            </a:pPr>
            <a:endParaRPr lang="pl-PL"/>
          </a:p>
        </c:txPr>
        <c:crossAx val="180796032"/>
        <c:crosses val="autoZero"/>
        <c:auto val="1"/>
        <c:lblAlgn val="ctr"/>
        <c:lblOffset val="100"/>
      </c:catAx>
      <c:valAx>
        <c:axId val="180796032"/>
        <c:scaling>
          <c:orientation val="minMax"/>
        </c:scaling>
        <c:axPos val="l"/>
        <c:numFmt formatCode="0%" sourceLinked="1"/>
        <c:tickLblPos val="nextTo"/>
        <c:txPr>
          <a:bodyPr/>
          <a:lstStyle/>
          <a:p>
            <a:pPr>
              <a:defRPr sz="900"/>
            </a:pPr>
            <a:endParaRPr lang="pl-PL"/>
          </a:p>
        </c:txPr>
        <c:crossAx val="18079449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2.3203595373469606E-2"/>
          <c:y val="0.72776946870177384"/>
          <c:w val="0.95630660507988385"/>
          <c:h val="0.24553068744196258"/>
        </c:manualLayout>
      </c:layout>
      <c:txPr>
        <a:bodyPr/>
        <a:lstStyle/>
        <a:p>
          <a:pPr>
            <a:defRPr sz="900"/>
          </a:pPr>
          <a:endParaRPr lang="pl-PL"/>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Zbiorczy!$E$5</c:f>
              <c:numCache>
                <c:formatCode>General</c:formatCode>
                <c:ptCount val="1"/>
                <c:pt idx="0">
                  <c:v>2.8936170212765959</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Zbiorczy!$H$5</c:f>
              <c:numCache>
                <c:formatCode>General</c:formatCode>
                <c:ptCount val="1"/>
                <c:pt idx="0">
                  <c:v>2.9517241379310346</c:v>
                </c:pt>
              </c:numCache>
            </c:numRef>
          </c:val>
        </c:ser>
        <c:ser>
          <c:idx val="9"/>
          <c:order val="2"/>
          <c:val>
            <c:numLit>
              <c:formatCode>General</c:formatCode>
              <c:ptCount val="1"/>
              <c:pt idx="0">
                <c:v>0</c:v>
              </c:pt>
            </c:numLit>
          </c:val>
        </c:ser>
        <c:ser>
          <c:idx val="2"/>
          <c:order val="3"/>
          <c:tx>
            <c:v>Wykształcenie wyższe</c:v>
          </c:tx>
          <c:val>
            <c:numRef>
              <c:f>Zbiorczy!$K$5</c:f>
              <c:numCache>
                <c:formatCode>General</c:formatCode>
                <c:ptCount val="1"/>
                <c:pt idx="0">
                  <c:v>3.0588235294117627</c:v>
                </c:pt>
              </c:numCache>
            </c:numRef>
          </c:val>
        </c:ser>
        <c:ser>
          <c:idx val="3"/>
          <c:order val="4"/>
          <c:tx>
            <c:v>Wykształcenie średnie i policealne</c:v>
          </c:tx>
          <c:val>
            <c:numRef>
              <c:f>Zbiorczy!$N$5</c:f>
              <c:numCache>
                <c:formatCode>General</c:formatCode>
                <c:ptCount val="1"/>
                <c:pt idx="0">
                  <c:v>2.6900584795321567</c:v>
                </c:pt>
              </c:numCache>
            </c:numRef>
          </c:val>
        </c:ser>
        <c:ser>
          <c:idx val="4"/>
          <c:order val="5"/>
          <c:tx>
            <c:v>Wykształcenie zasadnicze zawodowe i poniżej</c:v>
          </c:tx>
          <c:val>
            <c:numRef>
              <c:f>Zbiorczy!$Q$5</c:f>
              <c:numCache>
                <c:formatCode>General</c:formatCode>
                <c:ptCount val="1"/>
                <c:pt idx="0">
                  <c:v>3.0421052631578949</c:v>
                </c:pt>
              </c:numCache>
            </c:numRef>
          </c:val>
        </c:ser>
        <c:ser>
          <c:idx val="10"/>
          <c:order val="6"/>
          <c:val>
            <c:numLit>
              <c:formatCode>General</c:formatCode>
              <c:ptCount val="1"/>
              <c:pt idx="0">
                <c:v>0</c:v>
              </c:pt>
            </c:numLit>
          </c:val>
        </c:ser>
        <c:ser>
          <c:idx val="5"/>
          <c:order val="7"/>
          <c:tx>
            <c:v>Wiek: 18-29</c:v>
          </c:tx>
          <c:val>
            <c:numRef>
              <c:f>Zbiorczy!$T$5</c:f>
              <c:numCache>
                <c:formatCode>General</c:formatCode>
                <c:ptCount val="1"/>
                <c:pt idx="0">
                  <c:v>3.4</c:v>
                </c:pt>
              </c:numCache>
            </c:numRef>
          </c:val>
        </c:ser>
        <c:ser>
          <c:idx val="6"/>
          <c:order val="8"/>
          <c:tx>
            <c:v>Wiek: 30-39</c:v>
          </c:tx>
          <c:val>
            <c:numRef>
              <c:f>Zbiorczy!$W$5</c:f>
              <c:numCache>
                <c:formatCode>General</c:formatCode>
                <c:ptCount val="1"/>
                <c:pt idx="0">
                  <c:v>3.25</c:v>
                </c:pt>
              </c:numCache>
            </c:numRef>
          </c:val>
        </c:ser>
        <c:ser>
          <c:idx val="7"/>
          <c:order val="9"/>
          <c:tx>
            <c:v>Wiek: 40-59</c:v>
          </c:tx>
          <c:val>
            <c:numRef>
              <c:f>Zbiorczy!$Z$5</c:f>
              <c:numCache>
                <c:formatCode>General</c:formatCode>
                <c:ptCount val="1"/>
                <c:pt idx="0">
                  <c:v>2.8341232227488153</c:v>
                </c:pt>
              </c:numCache>
            </c:numRef>
          </c:val>
        </c:ser>
        <c:ser>
          <c:idx val="8"/>
          <c:order val="10"/>
          <c:tx>
            <c:v>Wiek: 60 i powyżej</c:v>
          </c:tx>
          <c:val>
            <c:numRef>
              <c:f>Zbiorczy!$AC$5</c:f>
              <c:numCache>
                <c:formatCode>General</c:formatCode>
                <c:ptCount val="1"/>
                <c:pt idx="0">
                  <c:v>2.4310344827586197</c:v>
                </c:pt>
              </c:numCache>
            </c:numRef>
          </c:val>
        </c:ser>
        <c:axId val="187359616"/>
        <c:axId val="187361152"/>
      </c:barChart>
      <c:catAx>
        <c:axId val="187359616"/>
        <c:scaling>
          <c:orientation val="minMax"/>
        </c:scaling>
        <c:delete val="1"/>
        <c:axPos val="b"/>
        <c:tickLblPos val="none"/>
        <c:crossAx val="187361152"/>
        <c:crosses val="autoZero"/>
        <c:auto val="1"/>
        <c:lblAlgn val="ctr"/>
        <c:lblOffset val="100"/>
      </c:catAx>
      <c:valAx>
        <c:axId val="187361152"/>
        <c:scaling>
          <c:orientation val="minMax"/>
          <c:max val="3.5"/>
        </c:scaling>
        <c:axPos val="l"/>
        <c:numFmt formatCode="General" sourceLinked="1"/>
        <c:tickLblPos val="nextTo"/>
        <c:txPr>
          <a:bodyPr/>
          <a:lstStyle/>
          <a:p>
            <a:pPr>
              <a:defRPr sz="900"/>
            </a:pPr>
            <a:endParaRPr lang="pl-PL"/>
          </a:p>
        </c:txPr>
        <c:crossAx val="18735961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1447920300097246E-2"/>
          <c:y val="0.69191224961662767"/>
          <c:w val="0.89018817521723148"/>
          <c:h val="0.2805673394119011"/>
        </c:manualLayout>
      </c:layout>
      <c:txPr>
        <a:bodyPr/>
        <a:lstStyle/>
        <a:p>
          <a:pPr>
            <a:defRPr sz="800"/>
          </a:pPr>
          <a:endParaRPr lang="pl-PL"/>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barChart>
        <c:barDir val="col"/>
        <c:grouping val="clustered"/>
        <c:ser>
          <c:idx val="0"/>
          <c:order val="0"/>
          <c:tx>
            <c:strRef>
              <c:f>ok!$C$70</c:f>
              <c:strCache>
                <c:ptCount val="1"/>
                <c:pt idx="0">
                  <c:v>korzystajacy z noclegów</c:v>
                </c:pt>
              </c:strCache>
            </c:strRef>
          </c:tx>
          <c:cat>
            <c:strRef>
              <c:f>ok!$B$71:$B$74</c:f>
              <c:strCache>
                <c:ptCount val="4"/>
                <c:pt idx="0">
                  <c:v> Nowa Sól </c:v>
                </c:pt>
                <c:pt idx="1">
                  <c:v>Średnia miast o porównywalnej liczbie mieszkańców</c:v>
                </c:pt>
                <c:pt idx="2">
                  <c:v>Województwo lubuskie</c:v>
                </c:pt>
                <c:pt idx="3">
                  <c:v>Polska</c:v>
                </c:pt>
              </c:strCache>
            </c:strRef>
          </c:cat>
          <c:val>
            <c:numRef>
              <c:f>ok!$C$71:$C$74</c:f>
              <c:numCache>
                <c:formatCode>General</c:formatCode>
                <c:ptCount val="4"/>
                <c:pt idx="0">
                  <c:v>101</c:v>
                </c:pt>
                <c:pt idx="1">
                  <c:v>595</c:v>
                </c:pt>
                <c:pt idx="2">
                  <c:v>605</c:v>
                </c:pt>
                <c:pt idx="3">
                  <c:v>507</c:v>
                </c:pt>
              </c:numCache>
            </c:numRef>
          </c:val>
        </c:ser>
        <c:ser>
          <c:idx val="1"/>
          <c:order val="1"/>
          <c:tx>
            <c:strRef>
              <c:f>ok!$D$70</c:f>
              <c:strCache>
                <c:ptCount val="1"/>
                <c:pt idx="0">
                  <c:v>korzystajacy z noclegów turyści zagraniczni</c:v>
                </c:pt>
              </c:strCache>
            </c:strRef>
          </c:tx>
          <c:cat>
            <c:strRef>
              <c:f>ok!$B$71:$B$74</c:f>
              <c:strCache>
                <c:ptCount val="4"/>
                <c:pt idx="0">
                  <c:v> Nowa Sól </c:v>
                </c:pt>
                <c:pt idx="1">
                  <c:v>Średnia miast o porównywalnej liczbie mieszkańców</c:v>
                </c:pt>
                <c:pt idx="2">
                  <c:v>Województwo lubuskie</c:v>
                </c:pt>
                <c:pt idx="3">
                  <c:v>Polska</c:v>
                </c:pt>
              </c:strCache>
            </c:strRef>
          </c:cat>
          <c:val>
            <c:numRef>
              <c:f>ok!$D$71:$D$74</c:f>
              <c:numCache>
                <c:formatCode>General</c:formatCode>
                <c:ptCount val="4"/>
                <c:pt idx="0">
                  <c:v>11</c:v>
                </c:pt>
                <c:pt idx="1">
                  <c:v>140</c:v>
                </c:pt>
                <c:pt idx="2">
                  <c:v>150</c:v>
                </c:pt>
                <c:pt idx="3">
                  <c:v>101</c:v>
                </c:pt>
              </c:numCache>
            </c:numRef>
          </c:val>
        </c:ser>
        <c:axId val="180841472"/>
        <c:axId val="180847360"/>
      </c:barChart>
      <c:catAx>
        <c:axId val="180841472"/>
        <c:scaling>
          <c:orientation val="minMax"/>
        </c:scaling>
        <c:axPos val="b"/>
        <c:majorTickMark val="none"/>
        <c:tickLblPos val="nextTo"/>
        <c:txPr>
          <a:bodyPr/>
          <a:lstStyle/>
          <a:p>
            <a:pPr>
              <a:defRPr sz="800"/>
            </a:pPr>
            <a:endParaRPr lang="pl-PL"/>
          </a:p>
        </c:txPr>
        <c:crossAx val="180847360"/>
        <c:crosses val="autoZero"/>
        <c:auto val="1"/>
        <c:lblAlgn val="ctr"/>
        <c:lblOffset val="100"/>
      </c:catAx>
      <c:valAx>
        <c:axId val="180847360"/>
        <c:scaling>
          <c:orientation val="minMax"/>
        </c:scaling>
        <c:axPos val="l"/>
        <c:majorGridlines/>
        <c:numFmt formatCode="General" sourceLinked="1"/>
        <c:majorTickMark val="none"/>
        <c:tickLblPos val="nextTo"/>
        <c:txPr>
          <a:bodyPr/>
          <a:lstStyle/>
          <a:p>
            <a:pPr>
              <a:defRPr sz="900"/>
            </a:pPr>
            <a:endParaRPr lang="pl-PL"/>
          </a:p>
        </c:txPr>
        <c:crossAx val="180841472"/>
        <c:crosses val="autoZero"/>
        <c:crossBetween val="between"/>
      </c:valAx>
    </c:plotArea>
    <c:legend>
      <c:legendPos val="b"/>
      <c:txPr>
        <a:bodyPr/>
        <a:lstStyle/>
        <a:p>
          <a:pPr>
            <a:defRPr sz="900"/>
          </a:pPr>
          <a:endParaRPr lang="pl-PL"/>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Zbiorczy!$C$6:$D$6</c:f>
              <c:numCache>
                <c:formatCode>0%</c:formatCode>
                <c:ptCount val="2"/>
                <c:pt idx="0">
                  <c:v>0.26330532212885188</c:v>
                </c:pt>
                <c:pt idx="1">
                  <c:v>0.73669467787115772</c:v>
                </c:pt>
              </c:numCache>
            </c:numRef>
          </c:val>
        </c:ser>
        <c:ser>
          <c:idx val="1"/>
          <c:order val="1"/>
          <c:tx>
            <c:v>Kobiety</c:v>
          </c:tx>
          <c:dLbls>
            <c:txPr>
              <a:bodyPr rot="-5400000" vert="horz"/>
              <a:lstStyle/>
              <a:p>
                <a:pPr>
                  <a:defRPr sz="900"/>
                </a:pPr>
                <a:endParaRPr lang="pl-PL"/>
              </a:p>
            </c:txPr>
            <c:showSerName val="1"/>
          </c:dLbls>
          <c:val>
            <c:numRef>
              <c:f>Zbiorczy!$F$6:$G$6</c:f>
              <c:numCache>
                <c:formatCode>0%</c:formatCode>
                <c:ptCount val="2"/>
                <c:pt idx="0">
                  <c:v>0.40170940170940489</c:v>
                </c:pt>
                <c:pt idx="1">
                  <c:v>0.59829059829059861</c:v>
                </c:pt>
              </c:numCache>
            </c:numRef>
          </c:val>
        </c:ser>
        <c:ser>
          <c:idx val="9"/>
          <c:order val="2"/>
          <c:val>
            <c:numLit>
              <c:formatCode>General</c:formatCode>
              <c:ptCount val="1"/>
              <c:pt idx="0">
                <c:v>0</c:v>
              </c:pt>
            </c:numLit>
          </c:val>
        </c:ser>
        <c:ser>
          <c:idx val="2"/>
          <c:order val="3"/>
          <c:tx>
            <c:v>Wykształcenie wyższe</c:v>
          </c:tx>
          <c:val>
            <c:numRef>
              <c:f>Zbiorczy!$I$6:$J$6</c:f>
              <c:numCache>
                <c:formatCode>0%</c:formatCode>
                <c:ptCount val="2"/>
                <c:pt idx="0">
                  <c:v>0.41729323308270677</c:v>
                </c:pt>
                <c:pt idx="1">
                  <c:v>0.5827067669172854</c:v>
                </c:pt>
              </c:numCache>
            </c:numRef>
          </c:val>
        </c:ser>
        <c:ser>
          <c:idx val="3"/>
          <c:order val="4"/>
          <c:tx>
            <c:v>Wykształcenie średnie i policealne</c:v>
          </c:tx>
          <c:val>
            <c:numRef>
              <c:f>Zbiorczy!$L$6:$M$6</c:f>
              <c:numCache>
                <c:formatCode>0%</c:formatCode>
                <c:ptCount val="2"/>
                <c:pt idx="0">
                  <c:v>0.30344827586207579</c:v>
                </c:pt>
                <c:pt idx="1">
                  <c:v>0.6965517241379241</c:v>
                </c:pt>
              </c:numCache>
            </c:numRef>
          </c:val>
        </c:ser>
        <c:ser>
          <c:idx val="4"/>
          <c:order val="5"/>
          <c:tx>
            <c:v>Wykształcenie zasadnicze zawodowe i poniżej</c:v>
          </c:tx>
          <c:val>
            <c:numRef>
              <c:f>Zbiorczy!$O$6:$P$6</c:f>
              <c:numCache>
                <c:formatCode>0%</c:formatCode>
                <c:ptCount val="2"/>
                <c:pt idx="0">
                  <c:v>0.29983249581239918</c:v>
                </c:pt>
                <c:pt idx="1">
                  <c:v>0.70016750418759999</c:v>
                </c:pt>
              </c:numCache>
            </c:numRef>
          </c:val>
        </c:ser>
        <c:ser>
          <c:idx val="10"/>
          <c:order val="6"/>
          <c:val>
            <c:numLit>
              <c:formatCode>General</c:formatCode>
              <c:ptCount val="1"/>
              <c:pt idx="0">
                <c:v>0</c:v>
              </c:pt>
            </c:numLit>
          </c:val>
        </c:ser>
        <c:ser>
          <c:idx val="5"/>
          <c:order val="7"/>
          <c:tx>
            <c:v>Wiek: 18-29</c:v>
          </c:tx>
          <c:val>
            <c:numRef>
              <c:f>Zbiorczy!$R$6:$S$6</c:f>
              <c:numCache>
                <c:formatCode>0%</c:formatCode>
                <c:ptCount val="2"/>
                <c:pt idx="0">
                  <c:v>0.23342939481268257</c:v>
                </c:pt>
                <c:pt idx="1">
                  <c:v>0.7665706051873199</c:v>
                </c:pt>
              </c:numCache>
            </c:numRef>
          </c:val>
        </c:ser>
        <c:ser>
          <c:idx val="6"/>
          <c:order val="8"/>
          <c:tx>
            <c:v>Wiek: 30-39</c:v>
          </c:tx>
          <c:val>
            <c:numRef>
              <c:f>Zbiorczy!$U$6:$V$6</c:f>
              <c:numCache>
                <c:formatCode>0%</c:formatCode>
                <c:ptCount val="2"/>
                <c:pt idx="0">
                  <c:v>0.39644970414201613</c:v>
                </c:pt>
                <c:pt idx="1">
                  <c:v>0.60355029585798758</c:v>
                </c:pt>
              </c:numCache>
            </c:numRef>
          </c:val>
        </c:ser>
        <c:ser>
          <c:idx val="7"/>
          <c:order val="9"/>
          <c:tx>
            <c:v>Wiek: 40-59</c:v>
          </c:tx>
          <c:val>
            <c:numRef>
              <c:f>Zbiorczy!$X$6:$Y$6</c:f>
              <c:numCache>
                <c:formatCode>0%</c:formatCode>
                <c:ptCount val="2"/>
                <c:pt idx="0">
                  <c:v>0.32553191489361732</c:v>
                </c:pt>
                <c:pt idx="1">
                  <c:v>0.67446808510638301</c:v>
                </c:pt>
              </c:numCache>
            </c:numRef>
          </c:val>
        </c:ser>
        <c:ser>
          <c:idx val="8"/>
          <c:order val="10"/>
          <c:tx>
            <c:v>Wiek: 60 i powyżej</c:v>
          </c:tx>
          <c:val>
            <c:numRef>
              <c:f>Zbiorczy!$AA$6:$AB$6</c:f>
              <c:numCache>
                <c:formatCode>0%</c:formatCode>
                <c:ptCount val="2"/>
                <c:pt idx="0">
                  <c:v>0.39130434782609153</c:v>
                </c:pt>
                <c:pt idx="1">
                  <c:v>0.60869565217392962</c:v>
                </c:pt>
              </c:numCache>
            </c:numRef>
          </c:val>
        </c:ser>
        <c:gapWidth val="136"/>
        <c:overlap val="-15"/>
        <c:axId val="180913280"/>
        <c:axId val="180914816"/>
      </c:barChart>
      <c:catAx>
        <c:axId val="180913280"/>
        <c:scaling>
          <c:orientation val="minMax"/>
        </c:scaling>
        <c:axPos val="b"/>
        <c:majorGridlines/>
        <c:tickLblPos val="nextTo"/>
        <c:crossAx val="180914816"/>
        <c:crosses val="autoZero"/>
        <c:auto val="1"/>
        <c:lblAlgn val="ctr"/>
        <c:lblOffset val="100"/>
      </c:catAx>
      <c:valAx>
        <c:axId val="180914816"/>
        <c:scaling>
          <c:orientation val="minMax"/>
        </c:scaling>
        <c:axPos val="l"/>
        <c:numFmt formatCode="0%" sourceLinked="1"/>
        <c:tickLblPos val="nextTo"/>
        <c:txPr>
          <a:bodyPr/>
          <a:lstStyle/>
          <a:p>
            <a:pPr>
              <a:defRPr sz="800"/>
            </a:pPr>
            <a:endParaRPr lang="pl-PL"/>
          </a:p>
        </c:txPr>
        <c:crossAx val="18091328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4545752890867257E-2"/>
          <c:y val="0.68692253346668064"/>
          <c:w val="0.8809652722545227"/>
          <c:h val="0.28511134151152828"/>
        </c:manualLayout>
      </c:layout>
      <c:txPr>
        <a:bodyPr/>
        <a:lstStyle/>
        <a:p>
          <a:pPr>
            <a:defRPr sz="800"/>
          </a:pPr>
          <a:endParaRPr lang="pl-PL"/>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Zbiorczy!$E$6</c:f>
              <c:numCache>
                <c:formatCode>General</c:formatCode>
                <c:ptCount val="1"/>
                <c:pt idx="0">
                  <c:v>2.7787234042553202</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Zbiorczy!$H$6</c:f>
              <c:numCache>
                <c:formatCode>General</c:formatCode>
                <c:ptCount val="1"/>
                <c:pt idx="0">
                  <c:v>2.1678082191780823</c:v>
                </c:pt>
              </c:numCache>
            </c:numRef>
          </c:val>
        </c:ser>
        <c:ser>
          <c:idx val="9"/>
          <c:order val="2"/>
          <c:val>
            <c:numLit>
              <c:formatCode>General</c:formatCode>
              <c:ptCount val="1"/>
              <c:pt idx="0">
                <c:v>0</c:v>
              </c:pt>
            </c:numLit>
          </c:val>
        </c:ser>
        <c:ser>
          <c:idx val="2"/>
          <c:order val="3"/>
          <c:tx>
            <c:v>Wykształcenie wyższe</c:v>
          </c:tx>
          <c:val>
            <c:numRef>
              <c:f>Zbiorczy!$K$6</c:f>
              <c:numCache>
                <c:formatCode>General</c:formatCode>
                <c:ptCount val="1"/>
                <c:pt idx="0">
                  <c:v>3.2794117647058822</c:v>
                </c:pt>
              </c:numCache>
            </c:numRef>
          </c:val>
        </c:ser>
        <c:ser>
          <c:idx val="3"/>
          <c:order val="4"/>
          <c:tx>
            <c:v>Wykształcenie średnie i policealne</c:v>
          </c:tx>
          <c:val>
            <c:numRef>
              <c:f>Zbiorczy!$N$6</c:f>
              <c:numCache>
                <c:formatCode>General</c:formatCode>
                <c:ptCount val="1"/>
                <c:pt idx="0">
                  <c:v>2.4508670520231197</c:v>
                </c:pt>
              </c:numCache>
            </c:numRef>
          </c:val>
        </c:ser>
        <c:ser>
          <c:idx val="4"/>
          <c:order val="5"/>
          <c:tx>
            <c:v>Wykształcenie zasadnicze zawodowe i poniżej</c:v>
          </c:tx>
          <c:val>
            <c:numRef>
              <c:f>Zbiorczy!$Q$6</c:f>
              <c:numCache>
                <c:formatCode>General</c:formatCode>
                <c:ptCount val="1"/>
                <c:pt idx="0">
                  <c:v>2.23859649122807</c:v>
                </c:pt>
              </c:numCache>
            </c:numRef>
          </c:val>
        </c:ser>
        <c:ser>
          <c:idx val="10"/>
          <c:order val="6"/>
          <c:val>
            <c:numLit>
              <c:formatCode>General</c:formatCode>
              <c:ptCount val="1"/>
              <c:pt idx="0">
                <c:v>0</c:v>
              </c:pt>
            </c:numLit>
          </c:val>
        </c:ser>
        <c:ser>
          <c:idx val="5"/>
          <c:order val="7"/>
          <c:tx>
            <c:v>Wiek: 18-29</c:v>
          </c:tx>
          <c:val>
            <c:numRef>
              <c:f>Zbiorczy!$T$6</c:f>
              <c:numCache>
                <c:formatCode>General</c:formatCode>
                <c:ptCount val="1"/>
                <c:pt idx="0">
                  <c:v>3.27</c:v>
                </c:pt>
              </c:numCache>
            </c:numRef>
          </c:val>
        </c:ser>
        <c:ser>
          <c:idx val="6"/>
          <c:order val="8"/>
          <c:tx>
            <c:v>Wiek: 30-39</c:v>
          </c:tx>
          <c:val>
            <c:numRef>
              <c:f>Zbiorczy!$W$6</c:f>
              <c:numCache>
                <c:formatCode>General</c:formatCode>
                <c:ptCount val="1"/>
                <c:pt idx="0">
                  <c:v>2.8333333333333335</c:v>
                </c:pt>
              </c:numCache>
            </c:numRef>
          </c:val>
        </c:ser>
        <c:ser>
          <c:idx val="7"/>
          <c:order val="9"/>
          <c:tx>
            <c:v>Wiek: 40-59</c:v>
          </c:tx>
          <c:val>
            <c:numRef>
              <c:f>Zbiorczy!$Z$6</c:f>
              <c:numCache>
                <c:formatCode>General</c:formatCode>
                <c:ptCount val="1"/>
                <c:pt idx="0">
                  <c:v>2.2863849765258215</c:v>
                </c:pt>
              </c:numCache>
            </c:numRef>
          </c:val>
        </c:ser>
        <c:ser>
          <c:idx val="8"/>
          <c:order val="10"/>
          <c:tx>
            <c:v>Wiek: 60 i powyżej</c:v>
          </c:tx>
          <c:val>
            <c:numRef>
              <c:f>Zbiorczy!$AC$6</c:f>
              <c:numCache>
                <c:formatCode>General</c:formatCode>
                <c:ptCount val="1"/>
                <c:pt idx="0">
                  <c:v>1.6724137931034482</c:v>
                </c:pt>
              </c:numCache>
            </c:numRef>
          </c:val>
        </c:ser>
        <c:axId val="181133696"/>
        <c:axId val="181135232"/>
      </c:barChart>
      <c:catAx>
        <c:axId val="181133696"/>
        <c:scaling>
          <c:orientation val="minMax"/>
        </c:scaling>
        <c:delete val="1"/>
        <c:axPos val="b"/>
        <c:tickLblPos val="none"/>
        <c:crossAx val="181135232"/>
        <c:crosses val="autoZero"/>
        <c:auto val="1"/>
        <c:lblAlgn val="ctr"/>
        <c:lblOffset val="100"/>
      </c:catAx>
      <c:valAx>
        <c:axId val="181135232"/>
        <c:scaling>
          <c:orientation val="minMax"/>
        </c:scaling>
        <c:axPos val="l"/>
        <c:numFmt formatCode="General" sourceLinked="1"/>
        <c:tickLblPos val="nextTo"/>
        <c:txPr>
          <a:bodyPr/>
          <a:lstStyle/>
          <a:p>
            <a:pPr>
              <a:defRPr sz="800"/>
            </a:pPr>
            <a:endParaRPr lang="pl-PL"/>
          </a:p>
        </c:txPr>
        <c:crossAx val="18113369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6.1472249167376487E-2"/>
          <c:y val="0.69996296360127452"/>
          <c:w val="0.91042613244461779"/>
          <c:h val="0.27323576780534542"/>
        </c:manualLayout>
      </c:layout>
      <c:txPr>
        <a:bodyPr/>
        <a:lstStyle/>
        <a:p>
          <a:pPr>
            <a:defRPr sz="800"/>
          </a:pPr>
          <a:endParaRPr lang="pl-PL"/>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Zbiorczy!$C$7:$D$7</c:f>
              <c:numCache>
                <c:formatCode>0%</c:formatCode>
                <c:ptCount val="2"/>
                <c:pt idx="0">
                  <c:v>0.20642648490750076</c:v>
                </c:pt>
                <c:pt idx="1">
                  <c:v>0.7935735150925024</c:v>
                </c:pt>
              </c:numCache>
            </c:numRef>
          </c:val>
        </c:ser>
        <c:ser>
          <c:idx val="1"/>
          <c:order val="1"/>
          <c:tx>
            <c:v>Kobiety</c:v>
          </c:tx>
          <c:dLbls>
            <c:txPr>
              <a:bodyPr rot="-5400000" vert="horz"/>
              <a:lstStyle/>
              <a:p>
                <a:pPr>
                  <a:defRPr sz="900"/>
                </a:pPr>
                <a:endParaRPr lang="pl-PL"/>
              </a:p>
            </c:txPr>
            <c:showSerName val="1"/>
          </c:dLbls>
          <c:val>
            <c:numRef>
              <c:f>Zbiorczy!$F$7:$G$7</c:f>
              <c:numCache>
                <c:formatCode>0%</c:formatCode>
                <c:ptCount val="2"/>
                <c:pt idx="0">
                  <c:v>0.14038876889848811</c:v>
                </c:pt>
                <c:pt idx="1">
                  <c:v>0.85961123110151971</c:v>
                </c:pt>
              </c:numCache>
            </c:numRef>
          </c:val>
        </c:ser>
        <c:ser>
          <c:idx val="9"/>
          <c:order val="2"/>
          <c:val>
            <c:numLit>
              <c:formatCode>General</c:formatCode>
              <c:ptCount val="1"/>
              <c:pt idx="0">
                <c:v>0</c:v>
              </c:pt>
            </c:numLit>
          </c:val>
        </c:ser>
        <c:ser>
          <c:idx val="2"/>
          <c:order val="3"/>
          <c:tx>
            <c:v>Wykształcenie wyższe</c:v>
          </c:tx>
          <c:val>
            <c:numRef>
              <c:f>Zbiorczy!$I$7:$J$7</c:f>
              <c:numCache>
                <c:formatCode>0%</c:formatCode>
                <c:ptCount val="2"/>
                <c:pt idx="0">
                  <c:v>0.41194029850746572</c:v>
                </c:pt>
                <c:pt idx="1">
                  <c:v>0.58805970149253728</c:v>
                </c:pt>
              </c:numCache>
            </c:numRef>
          </c:val>
        </c:ser>
        <c:ser>
          <c:idx val="3"/>
          <c:order val="4"/>
          <c:tx>
            <c:v>Wykształcenie średnie i policealne</c:v>
          </c:tx>
          <c:val>
            <c:numRef>
              <c:f>Zbiorczy!$L$7:$M$7</c:f>
              <c:numCache>
                <c:formatCode>0%</c:formatCode>
                <c:ptCount val="2"/>
                <c:pt idx="0">
                  <c:v>0.16129032258064521</c:v>
                </c:pt>
                <c:pt idx="1">
                  <c:v>0.83870967741936586</c:v>
                </c:pt>
              </c:numCache>
            </c:numRef>
          </c:val>
        </c:ser>
        <c:ser>
          <c:idx val="4"/>
          <c:order val="5"/>
          <c:tx>
            <c:v>Wykształcenie zasadnicze zawodowe i poniżej</c:v>
          </c:tx>
          <c:val>
            <c:numRef>
              <c:f>Zbiorczy!$O$7:$P$7</c:f>
              <c:numCache>
                <c:formatCode>0%</c:formatCode>
                <c:ptCount val="2"/>
                <c:pt idx="0">
                  <c:v>0.11177794448612265</c:v>
                </c:pt>
                <c:pt idx="1">
                  <c:v>0.88822205551388533</c:v>
                </c:pt>
              </c:numCache>
            </c:numRef>
          </c:val>
        </c:ser>
        <c:ser>
          <c:idx val="10"/>
          <c:order val="6"/>
          <c:val>
            <c:numLit>
              <c:formatCode>General</c:formatCode>
              <c:ptCount val="1"/>
              <c:pt idx="0">
                <c:v>0</c:v>
              </c:pt>
            </c:numLit>
          </c:val>
        </c:ser>
        <c:ser>
          <c:idx val="5"/>
          <c:order val="7"/>
          <c:tx>
            <c:v>Wiek: 18-29</c:v>
          </c:tx>
          <c:val>
            <c:numRef>
              <c:f>Zbiorczy!$R$7:$S$7</c:f>
              <c:numCache>
                <c:formatCode>0%</c:formatCode>
                <c:ptCount val="2"/>
                <c:pt idx="0">
                  <c:v>0.21256038647343337</c:v>
                </c:pt>
                <c:pt idx="1">
                  <c:v>0.78743961352658165</c:v>
                </c:pt>
              </c:numCache>
            </c:numRef>
          </c:val>
        </c:ser>
        <c:ser>
          <c:idx val="6"/>
          <c:order val="8"/>
          <c:tx>
            <c:v>Wiek: 30-39</c:v>
          </c:tx>
          <c:val>
            <c:numRef>
              <c:f>Zbiorczy!$U$7:$V$7</c:f>
              <c:numCache>
                <c:formatCode>0%</c:formatCode>
                <c:ptCount val="2"/>
                <c:pt idx="0">
                  <c:v>0.28423772609818726</c:v>
                </c:pt>
                <c:pt idx="1">
                  <c:v>0.7157622739018088</c:v>
                </c:pt>
              </c:numCache>
            </c:numRef>
          </c:val>
        </c:ser>
        <c:ser>
          <c:idx val="7"/>
          <c:order val="9"/>
          <c:tx>
            <c:v>Wiek: 40-59</c:v>
          </c:tx>
          <c:val>
            <c:numRef>
              <c:f>Zbiorczy!$X$7:$Y$7</c:f>
              <c:numCache>
                <c:formatCode>0%</c:formatCode>
                <c:ptCount val="2"/>
                <c:pt idx="0">
                  <c:v>0.13908629441624573</c:v>
                </c:pt>
                <c:pt idx="1">
                  <c:v>0.86091370558375635</c:v>
                </c:pt>
              </c:numCache>
            </c:numRef>
          </c:val>
        </c:ser>
        <c:ser>
          <c:idx val="8"/>
          <c:order val="10"/>
          <c:tx>
            <c:v>Wiek: 60 i powyżej</c:v>
          </c:tx>
          <c:val>
            <c:numRef>
              <c:f>Zbiorczy!$AA$7:$AB$7</c:f>
              <c:numCache>
                <c:formatCode>0%</c:formatCode>
                <c:ptCount val="2"/>
                <c:pt idx="0">
                  <c:v>0.10932475884244373</c:v>
                </c:pt>
                <c:pt idx="1">
                  <c:v>0.89067524115755625</c:v>
                </c:pt>
              </c:numCache>
            </c:numRef>
          </c:val>
        </c:ser>
        <c:gapWidth val="136"/>
        <c:overlap val="-15"/>
        <c:axId val="181206400"/>
        <c:axId val="181220480"/>
      </c:barChart>
      <c:catAx>
        <c:axId val="181206400"/>
        <c:scaling>
          <c:orientation val="minMax"/>
        </c:scaling>
        <c:axPos val="b"/>
        <c:majorGridlines/>
        <c:tickLblPos val="nextTo"/>
        <c:crossAx val="181220480"/>
        <c:crosses val="autoZero"/>
        <c:auto val="1"/>
        <c:lblAlgn val="ctr"/>
        <c:lblOffset val="100"/>
      </c:catAx>
      <c:valAx>
        <c:axId val="181220480"/>
        <c:scaling>
          <c:orientation val="minMax"/>
        </c:scaling>
        <c:axPos val="l"/>
        <c:numFmt formatCode="0%" sourceLinked="1"/>
        <c:tickLblPos val="nextTo"/>
        <c:txPr>
          <a:bodyPr/>
          <a:lstStyle/>
          <a:p>
            <a:pPr>
              <a:defRPr sz="800"/>
            </a:pPr>
            <a:endParaRPr lang="pl-PL"/>
          </a:p>
        </c:txPr>
        <c:crossAx val="18120640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0872072034363862E-2"/>
          <c:y val="0.7074189138298026"/>
          <c:w val="0.89672863114827128"/>
          <c:h val="0.26644583176990588"/>
        </c:manualLayout>
      </c:layout>
      <c:txPr>
        <a:bodyPr/>
        <a:lstStyle/>
        <a:p>
          <a:pPr>
            <a:defRPr sz="800"/>
          </a:pPr>
          <a:endParaRPr lang="pl-PL"/>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Zbiorczy!$E$7</c:f>
              <c:numCache>
                <c:formatCode>General</c:formatCode>
                <c:ptCount val="1"/>
                <c:pt idx="0">
                  <c:v>3.6</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Zbiorczy!$H$7</c:f>
              <c:numCache>
                <c:formatCode>General</c:formatCode>
                <c:ptCount val="1"/>
                <c:pt idx="0">
                  <c:v>3.8566552901023767</c:v>
                </c:pt>
              </c:numCache>
            </c:numRef>
          </c:val>
        </c:ser>
        <c:ser>
          <c:idx val="9"/>
          <c:order val="2"/>
          <c:val>
            <c:numLit>
              <c:formatCode>General</c:formatCode>
              <c:ptCount val="1"/>
              <c:pt idx="0">
                <c:v>0</c:v>
              </c:pt>
            </c:numLit>
          </c:val>
        </c:ser>
        <c:ser>
          <c:idx val="2"/>
          <c:order val="3"/>
          <c:tx>
            <c:v>Wykształcenie wyższe</c:v>
          </c:tx>
          <c:val>
            <c:numRef>
              <c:f>Zbiorczy!$K$7</c:f>
              <c:numCache>
                <c:formatCode>General</c:formatCode>
                <c:ptCount val="1"/>
                <c:pt idx="0">
                  <c:v>3.8235294117647061</c:v>
                </c:pt>
              </c:numCache>
            </c:numRef>
          </c:val>
        </c:ser>
        <c:ser>
          <c:idx val="3"/>
          <c:order val="4"/>
          <c:tx>
            <c:v>Wykształcenie średnie i policealne</c:v>
          </c:tx>
          <c:val>
            <c:numRef>
              <c:f>Zbiorczy!$N$7</c:f>
              <c:numCache>
                <c:formatCode>General</c:formatCode>
                <c:ptCount val="1"/>
                <c:pt idx="0">
                  <c:v>3.5804597701149432</c:v>
                </c:pt>
              </c:numCache>
            </c:numRef>
          </c:val>
        </c:ser>
        <c:ser>
          <c:idx val="4"/>
          <c:order val="5"/>
          <c:tx>
            <c:v>Wykształcenie zasadnicze zawodowe i poniżej</c:v>
          </c:tx>
          <c:val>
            <c:numRef>
              <c:f>Zbiorczy!$Q$7</c:f>
              <c:numCache>
                <c:formatCode>General</c:formatCode>
                <c:ptCount val="1"/>
                <c:pt idx="0">
                  <c:v>3.8210526315789162</c:v>
                </c:pt>
              </c:numCache>
            </c:numRef>
          </c:val>
        </c:ser>
        <c:ser>
          <c:idx val="10"/>
          <c:order val="6"/>
          <c:val>
            <c:numLit>
              <c:formatCode>General</c:formatCode>
              <c:ptCount val="1"/>
              <c:pt idx="0">
                <c:v>0</c:v>
              </c:pt>
            </c:numLit>
          </c:val>
        </c:ser>
        <c:ser>
          <c:idx val="5"/>
          <c:order val="7"/>
          <c:tx>
            <c:v>Wiek: 18-29</c:v>
          </c:tx>
          <c:val>
            <c:numRef>
              <c:f>Zbiorczy!$T$7</c:f>
              <c:numCache>
                <c:formatCode>General</c:formatCode>
                <c:ptCount val="1"/>
                <c:pt idx="0">
                  <c:v>3.63</c:v>
                </c:pt>
              </c:numCache>
            </c:numRef>
          </c:val>
        </c:ser>
        <c:ser>
          <c:idx val="6"/>
          <c:order val="8"/>
          <c:tx>
            <c:v>Wiek: 30-39</c:v>
          </c:tx>
          <c:val>
            <c:numRef>
              <c:f>Zbiorczy!$W$7</c:f>
              <c:numCache>
                <c:formatCode>General</c:formatCode>
                <c:ptCount val="1"/>
                <c:pt idx="0">
                  <c:v>3.6145833333333335</c:v>
                </c:pt>
              </c:numCache>
            </c:numRef>
          </c:val>
        </c:ser>
        <c:ser>
          <c:idx val="7"/>
          <c:order val="9"/>
          <c:tx>
            <c:v>Wiek: 40-59</c:v>
          </c:tx>
          <c:val>
            <c:numRef>
              <c:f>Zbiorczy!$Z$7</c:f>
              <c:numCache>
                <c:formatCode>General</c:formatCode>
                <c:ptCount val="1"/>
                <c:pt idx="0">
                  <c:v>3.7710280373831777</c:v>
                </c:pt>
              </c:numCache>
            </c:numRef>
          </c:val>
        </c:ser>
        <c:ser>
          <c:idx val="8"/>
          <c:order val="10"/>
          <c:tx>
            <c:v>Wiek: 60 i powyżej</c:v>
          </c:tx>
          <c:val>
            <c:numRef>
              <c:f>Zbiorczy!$AC$7</c:f>
              <c:numCache>
                <c:formatCode>General</c:formatCode>
                <c:ptCount val="1"/>
                <c:pt idx="0">
                  <c:v>3.8879310344827602</c:v>
                </c:pt>
              </c:numCache>
            </c:numRef>
          </c:val>
        </c:ser>
        <c:axId val="181275264"/>
        <c:axId val="181285248"/>
      </c:barChart>
      <c:catAx>
        <c:axId val="181275264"/>
        <c:scaling>
          <c:orientation val="minMax"/>
        </c:scaling>
        <c:delete val="1"/>
        <c:axPos val="b"/>
        <c:tickLblPos val="none"/>
        <c:crossAx val="181285248"/>
        <c:crosses val="autoZero"/>
        <c:auto val="1"/>
        <c:lblAlgn val="ctr"/>
        <c:lblOffset val="100"/>
      </c:catAx>
      <c:valAx>
        <c:axId val="181285248"/>
        <c:scaling>
          <c:orientation val="minMax"/>
          <c:max val="4"/>
        </c:scaling>
        <c:axPos val="l"/>
        <c:numFmt formatCode="General" sourceLinked="1"/>
        <c:tickLblPos val="nextTo"/>
        <c:txPr>
          <a:bodyPr/>
          <a:lstStyle/>
          <a:p>
            <a:pPr>
              <a:defRPr sz="800"/>
            </a:pPr>
            <a:endParaRPr lang="pl-PL"/>
          </a:p>
        </c:txPr>
        <c:crossAx val="181275264"/>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7.2051920256284901E-2"/>
          <c:y val="0.69411212912373021"/>
          <c:w val="0.89660309688977724"/>
          <c:h val="0.27856396751682738"/>
        </c:manualLayout>
      </c:layout>
      <c:txPr>
        <a:bodyPr/>
        <a:lstStyle/>
        <a:p>
          <a:pPr>
            <a:defRPr sz="800"/>
          </a:pPr>
          <a:endParaRPr lang="pl-PL"/>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Zbiorczy!$C$17:$D$17</c:f>
              <c:numCache>
                <c:formatCode>0%</c:formatCode>
                <c:ptCount val="2"/>
                <c:pt idx="0">
                  <c:v>0.21686746987951824</c:v>
                </c:pt>
                <c:pt idx="1">
                  <c:v>0.7831325301204819</c:v>
                </c:pt>
              </c:numCache>
            </c:numRef>
          </c:val>
        </c:ser>
        <c:ser>
          <c:idx val="1"/>
          <c:order val="1"/>
          <c:tx>
            <c:v>Kobiety</c:v>
          </c:tx>
          <c:dLbls>
            <c:txPr>
              <a:bodyPr rot="-5400000" vert="horz"/>
              <a:lstStyle/>
              <a:p>
                <a:pPr>
                  <a:defRPr sz="900"/>
                </a:pPr>
                <a:endParaRPr lang="pl-PL"/>
              </a:p>
            </c:txPr>
            <c:showSerName val="1"/>
          </c:dLbls>
          <c:val>
            <c:numRef>
              <c:f>Zbiorczy!$F$17:$G$17</c:f>
              <c:numCache>
                <c:formatCode>0%</c:formatCode>
                <c:ptCount val="2"/>
                <c:pt idx="0">
                  <c:v>0.35056179775281426</c:v>
                </c:pt>
                <c:pt idx="1">
                  <c:v>0.64943820224719995</c:v>
                </c:pt>
              </c:numCache>
            </c:numRef>
          </c:val>
        </c:ser>
        <c:ser>
          <c:idx val="9"/>
          <c:order val="2"/>
          <c:val>
            <c:numLit>
              <c:formatCode>General</c:formatCode>
              <c:ptCount val="1"/>
              <c:pt idx="0">
                <c:v>0</c:v>
              </c:pt>
            </c:numLit>
          </c:val>
        </c:ser>
        <c:ser>
          <c:idx val="2"/>
          <c:order val="3"/>
          <c:tx>
            <c:v>Wykształcenie wyższe</c:v>
          </c:tx>
          <c:val>
            <c:numRef>
              <c:f>Zbiorczy!$I$17:$J$17</c:f>
              <c:numCache>
                <c:formatCode>0%</c:formatCode>
                <c:ptCount val="2"/>
                <c:pt idx="0">
                  <c:v>0.33223684210526438</c:v>
                </c:pt>
                <c:pt idx="1">
                  <c:v>0.66776315789473684</c:v>
                </c:pt>
              </c:numCache>
            </c:numRef>
          </c:val>
        </c:ser>
        <c:ser>
          <c:idx val="3"/>
          <c:order val="4"/>
          <c:tx>
            <c:v>Wykształcenie średnie i policealne</c:v>
          </c:tx>
          <c:val>
            <c:numRef>
              <c:f>Zbiorczy!$L$17:$M$17</c:f>
              <c:numCache>
                <c:formatCode>0%</c:formatCode>
                <c:ptCount val="2"/>
                <c:pt idx="0">
                  <c:v>0.32898172323760566</c:v>
                </c:pt>
                <c:pt idx="1">
                  <c:v>0.67101827676240799</c:v>
                </c:pt>
              </c:numCache>
            </c:numRef>
          </c:val>
        </c:ser>
        <c:ser>
          <c:idx val="4"/>
          <c:order val="5"/>
          <c:tx>
            <c:v>Wykształcenie zasadnicze zawodowe i poniżej</c:v>
          </c:tx>
          <c:val>
            <c:numRef>
              <c:f>Zbiorczy!$O$17:$P$17</c:f>
              <c:numCache>
                <c:formatCode>0%</c:formatCode>
                <c:ptCount val="2"/>
                <c:pt idx="0">
                  <c:v>0.25746268656716431</c:v>
                </c:pt>
                <c:pt idx="1">
                  <c:v>0.7425373134328358</c:v>
                </c:pt>
              </c:numCache>
            </c:numRef>
          </c:val>
        </c:ser>
        <c:ser>
          <c:idx val="10"/>
          <c:order val="6"/>
          <c:val>
            <c:numLit>
              <c:formatCode>General</c:formatCode>
              <c:ptCount val="1"/>
              <c:pt idx="0">
                <c:v>0</c:v>
              </c:pt>
            </c:numLit>
          </c:val>
        </c:ser>
        <c:ser>
          <c:idx val="5"/>
          <c:order val="7"/>
          <c:tx>
            <c:v>Wiek: 18-29</c:v>
          </c:tx>
          <c:val>
            <c:numRef>
              <c:f>Zbiorczy!$R$17:$S$17</c:f>
              <c:numCache>
                <c:formatCode>0%</c:formatCode>
                <c:ptCount val="2"/>
                <c:pt idx="0">
                  <c:v>0.28571428571429003</c:v>
                </c:pt>
                <c:pt idx="1">
                  <c:v>0.71428571428571463</c:v>
                </c:pt>
              </c:numCache>
            </c:numRef>
          </c:val>
        </c:ser>
        <c:ser>
          <c:idx val="6"/>
          <c:order val="8"/>
          <c:tx>
            <c:v>Wiek: 30-39</c:v>
          </c:tx>
          <c:val>
            <c:numRef>
              <c:f>Zbiorczy!$U$17:$V$17</c:f>
              <c:numCache>
                <c:formatCode>0%</c:formatCode>
                <c:ptCount val="2"/>
                <c:pt idx="0">
                  <c:v>0.34271099744245964</c:v>
                </c:pt>
                <c:pt idx="1">
                  <c:v>0.65728900255755363</c:v>
                </c:pt>
              </c:numCache>
            </c:numRef>
          </c:val>
        </c:ser>
        <c:ser>
          <c:idx val="7"/>
          <c:order val="9"/>
          <c:tx>
            <c:v>Wiek: 40-59</c:v>
          </c:tx>
          <c:val>
            <c:numRef>
              <c:f>Zbiorczy!$X$17:$Y$17</c:f>
              <c:numCache>
                <c:formatCode>0%</c:formatCode>
                <c:ptCount val="2"/>
                <c:pt idx="0">
                  <c:v>0.27911453320500812</c:v>
                </c:pt>
                <c:pt idx="1">
                  <c:v>0.72088546679499665</c:v>
                </c:pt>
              </c:numCache>
            </c:numRef>
          </c:val>
        </c:ser>
        <c:ser>
          <c:idx val="8"/>
          <c:order val="10"/>
          <c:tx>
            <c:v>Wiek: 60 i powyżej</c:v>
          </c:tx>
          <c:val>
            <c:numRef>
              <c:f>Zbiorczy!$AA$17:$AB$17</c:f>
              <c:numCache>
                <c:formatCode>0%</c:formatCode>
                <c:ptCount val="2"/>
                <c:pt idx="0">
                  <c:v>0.28014184397163122</c:v>
                </c:pt>
                <c:pt idx="1">
                  <c:v>0.71985815602837955</c:v>
                </c:pt>
              </c:numCache>
            </c:numRef>
          </c:val>
        </c:ser>
        <c:gapWidth val="136"/>
        <c:overlap val="-15"/>
        <c:axId val="182589312"/>
        <c:axId val="182590848"/>
      </c:barChart>
      <c:catAx>
        <c:axId val="182589312"/>
        <c:scaling>
          <c:orientation val="minMax"/>
        </c:scaling>
        <c:axPos val="b"/>
        <c:majorGridlines/>
        <c:tickLblPos val="nextTo"/>
        <c:crossAx val="182590848"/>
        <c:crosses val="autoZero"/>
        <c:auto val="1"/>
        <c:lblAlgn val="ctr"/>
        <c:lblOffset val="100"/>
      </c:catAx>
      <c:valAx>
        <c:axId val="182590848"/>
        <c:scaling>
          <c:orientation val="minMax"/>
        </c:scaling>
        <c:axPos val="l"/>
        <c:numFmt formatCode="0%" sourceLinked="1"/>
        <c:tickLblPos val="nextTo"/>
        <c:txPr>
          <a:bodyPr/>
          <a:lstStyle/>
          <a:p>
            <a:pPr>
              <a:defRPr sz="800"/>
            </a:pPr>
            <a:endParaRPr lang="pl-PL"/>
          </a:p>
        </c:txPr>
        <c:crossAx val="18258931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6.9289900195342452E-2"/>
          <c:y val="0.67689690736878261"/>
          <c:w val="0.90238963839818043"/>
          <c:h val="0.29424141317690961"/>
        </c:manualLayout>
      </c:layout>
      <c:txPr>
        <a:bodyPr/>
        <a:lstStyle/>
        <a:p>
          <a:pPr>
            <a:defRPr sz="800"/>
          </a:pPr>
          <a:endParaRPr lang="pl-PL"/>
        </a:p>
      </c:txPr>
    </c:legend>
    <c:plotVisOnly val="1"/>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Zbiorczy!$E$17</c:f>
              <c:numCache>
                <c:formatCode>General</c:formatCode>
                <c:ptCount val="1"/>
                <c:pt idx="0">
                  <c:v>4.0769230769230784</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Zbiorczy!$H$17</c:f>
              <c:numCache>
                <c:formatCode>General</c:formatCode>
                <c:ptCount val="1"/>
                <c:pt idx="0">
                  <c:v>4.1198630136986534</c:v>
                </c:pt>
              </c:numCache>
            </c:numRef>
          </c:val>
        </c:ser>
        <c:ser>
          <c:idx val="9"/>
          <c:order val="2"/>
          <c:val>
            <c:numLit>
              <c:formatCode>General</c:formatCode>
              <c:ptCount val="1"/>
              <c:pt idx="0">
                <c:v>0</c:v>
              </c:pt>
            </c:numLit>
          </c:val>
        </c:ser>
        <c:ser>
          <c:idx val="2"/>
          <c:order val="3"/>
          <c:tx>
            <c:v>Wykształcenie wyższe</c:v>
          </c:tx>
          <c:val>
            <c:numRef>
              <c:f>Zbiorczy!$K$17</c:f>
              <c:numCache>
                <c:formatCode>General</c:formatCode>
                <c:ptCount val="1"/>
                <c:pt idx="0">
                  <c:v>3.8484848484848486</c:v>
                </c:pt>
              </c:numCache>
            </c:numRef>
          </c:val>
        </c:ser>
        <c:ser>
          <c:idx val="3"/>
          <c:order val="4"/>
          <c:tx>
            <c:v>Wykształcenie średnie i policealne</c:v>
          </c:tx>
          <c:val>
            <c:numRef>
              <c:f>Zbiorczy!$N$17</c:f>
              <c:numCache>
                <c:formatCode>General</c:formatCode>
                <c:ptCount val="1"/>
                <c:pt idx="0">
                  <c:v>3.9022988505747125</c:v>
                </c:pt>
              </c:numCache>
            </c:numRef>
          </c:val>
        </c:ser>
        <c:ser>
          <c:idx val="4"/>
          <c:order val="5"/>
          <c:tx>
            <c:v>Wykształcenie zasadnicze zawodowe i poniżej</c:v>
          </c:tx>
          <c:val>
            <c:numRef>
              <c:f>Zbiorczy!$Q$17</c:f>
              <c:numCache>
                <c:formatCode>General</c:formatCode>
                <c:ptCount val="1"/>
                <c:pt idx="0">
                  <c:v>4.2807017543859684</c:v>
                </c:pt>
              </c:numCache>
            </c:numRef>
          </c:val>
        </c:ser>
        <c:ser>
          <c:idx val="10"/>
          <c:order val="6"/>
          <c:val>
            <c:numLit>
              <c:formatCode>General</c:formatCode>
              <c:ptCount val="1"/>
              <c:pt idx="0">
                <c:v>0</c:v>
              </c:pt>
            </c:numLit>
          </c:val>
        </c:ser>
        <c:ser>
          <c:idx val="5"/>
          <c:order val="7"/>
          <c:tx>
            <c:v>Wiek: 18-29</c:v>
          </c:tx>
          <c:val>
            <c:numRef>
              <c:f>Zbiorczy!$T$17</c:f>
              <c:numCache>
                <c:formatCode>General</c:formatCode>
                <c:ptCount val="1"/>
                <c:pt idx="0">
                  <c:v>3.71</c:v>
                </c:pt>
              </c:numCache>
            </c:numRef>
          </c:val>
        </c:ser>
        <c:ser>
          <c:idx val="6"/>
          <c:order val="8"/>
          <c:tx>
            <c:v>Wiek: 30-39</c:v>
          </c:tx>
          <c:val>
            <c:numRef>
              <c:f>Zbiorczy!$W$17</c:f>
              <c:numCache>
                <c:formatCode>General</c:formatCode>
                <c:ptCount val="1"/>
                <c:pt idx="0">
                  <c:v>3.8510638297872055</c:v>
                </c:pt>
              </c:numCache>
            </c:numRef>
          </c:val>
        </c:ser>
        <c:ser>
          <c:idx val="7"/>
          <c:order val="9"/>
          <c:tx>
            <c:v>Wiek: 40-59</c:v>
          </c:tx>
          <c:val>
            <c:numRef>
              <c:f>Zbiorczy!$Z$17</c:f>
              <c:numCache>
                <c:formatCode>General</c:formatCode>
                <c:ptCount val="1"/>
                <c:pt idx="0">
                  <c:v>4.2383177570093462</c:v>
                </c:pt>
              </c:numCache>
            </c:numRef>
          </c:val>
        </c:ser>
        <c:ser>
          <c:idx val="8"/>
          <c:order val="10"/>
          <c:tx>
            <c:v>Wiek: 60 i powyżej</c:v>
          </c:tx>
          <c:val>
            <c:numRef>
              <c:f>Zbiorczy!$AC$17</c:f>
              <c:numCache>
                <c:formatCode>General</c:formatCode>
                <c:ptCount val="1"/>
                <c:pt idx="0">
                  <c:v>4.3793103448275863</c:v>
                </c:pt>
              </c:numCache>
            </c:numRef>
          </c:val>
        </c:ser>
        <c:axId val="182666368"/>
        <c:axId val="182667904"/>
      </c:barChart>
      <c:catAx>
        <c:axId val="182666368"/>
        <c:scaling>
          <c:orientation val="minMax"/>
        </c:scaling>
        <c:delete val="1"/>
        <c:axPos val="b"/>
        <c:tickLblPos val="none"/>
        <c:crossAx val="182667904"/>
        <c:crosses val="autoZero"/>
        <c:auto val="1"/>
        <c:lblAlgn val="ctr"/>
        <c:lblOffset val="100"/>
      </c:catAx>
      <c:valAx>
        <c:axId val="182667904"/>
        <c:scaling>
          <c:orientation val="minMax"/>
          <c:max val="4.5"/>
        </c:scaling>
        <c:axPos val="l"/>
        <c:numFmt formatCode="General" sourceLinked="1"/>
        <c:tickLblPos val="nextTo"/>
        <c:txPr>
          <a:bodyPr/>
          <a:lstStyle/>
          <a:p>
            <a:pPr>
              <a:defRPr sz="800"/>
            </a:pPr>
            <a:endParaRPr lang="pl-PL"/>
          </a:p>
        </c:txPr>
        <c:crossAx val="18266636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7.0050530172869996E-2"/>
          <c:y val="0.7065297264866004"/>
          <c:w val="0.90079602680029169"/>
          <c:h val="0.26725559108948532"/>
        </c:manualLayout>
      </c:layout>
      <c:txPr>
        <a:bodyPr/>
        <a:lstStyle/>
        <a:p>
          <a:pPr>
            <a:defRPr sz="800"/>
          </a:pPr>
          <a:endParaRPr lang="pl-PL"/>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Zbiorczy!$C$16:$D$16</c:f>
              <c:numCache>
                <c:formatCode>0%</c:formatCode>
                <c:ptCount val="2"/>
                <c:pt idx="0">
                  <c:v>0.37512639029322992</c:v>
                </c:pt>
                <c:pt idx="1">
                  <c:v>0.62487360970677464</c:v>
                </c:pt>
              </c:numCache>
            </c:numRef>
          </c:val>
        </c:ser>
        <c:ser>
          <c:idx val="1"/>
          <c:order val="1"/>
          <c:tx>
            <c:v>Kobiety</c:v>
          </c:tx>
          <c:dLbls>
            <c:txPr>
              <a:bodyPr rot="-5400000" vert="horz"/>
              <a:lstStyle/>
              <a:p>
                <a:pPr>
                  <a:defRPr sz="900"/>
                </a:pPr>
                <a:endParaRPr lang="pl-PL"/>
              </a:p>
            </c:txPr>
            <c:showSerName val="1"/>
          </c:dLbls>
          <c:val>
            <c:numRef>
              <c:f>Zbiorczy!$F$16:$G$16</c:f>
              <c:numCache>
                <c:formatCode>0%</c:formatCode>
                <c:ptCount val="2"/>
                <c:pt idx="0">
                  <c:v>0.5239179954441916</c:v>
                </c:pt>
                <c:pt idx="1">
                  <c:v>0.47608200455581201</c:v>
                </c:pt>
              </c:numCache>
            </c:numRef>
          </c:val>
        </c:ser>
        <c:ser>
          <c:idx val="9"/>
          <c:order val="2"/>
          <c:val>
            <c:numLit>
              <c:formatCode>General</c:formatCode>
              <c:ptCount val="1"/>
              <c:pt idx="0">
                <c:v>0</c:v>
              </c:pt>
            </c:numLit>
          </c:val>
        </c:ser>
        <c:ser>
          <c:idx val="2"/>
          <c:order val="3"/>
          <c:tx>
            <c:v>Wykształcenie wyższe</c:v>
          </c:tx>
          <c:val>
            <c:numRef>
              <c:f>Zbiorczy!$I$16:$J$16</c:f>
              <c:numCache>
                <c:formatCode>0%</c:formatCode>
                <c:ptCount val="2"/>
                <c:pt idx="0">
                  <c:v>0.42028985507246752</c:v>
                </c:pt>
                <c:pt idx="1">
                  <c:v>0.57971014492753559</c:v>
                </c:pt>
              </c:numCache>
            </c:numRef>
          </c:val>
        </c:ser>
        <c:ser>
          <c:idx val="3"/>
          <c:order val="4"/>
          <c:tx>
            <c:v>Wykształcenie średnie i policealne</c:v>
          </c:tx>
          <c:val>
            <c:numRef>
              <c:f>Zbiorczy!$L$16:$M$16</c:f>
              <c:numCache>
                <c:formatCode>0%</c:formatCode>
                <c:ptCount val="2"/>
                <c:pt idx="0">
                  <c:v>0.44768211920529832</c:v>
                </c:pt>
                <c:pt idx="1">
                  <c:v>0.55231788079470157</c:v>
                </c:pt>
              </c:numCache>
            </c:numRef>
          </c:val>
        </c:ser>
        <c:ser>
          <c:idx val="4"/>
          <c:order val="5"/>
          <c:tx>
            <c:v>Wykształcenie zasadnicze zawodowe i poniżej</c:v>
          </c:tx>
          <c:val>
            <c:numRef>
              <c:f>Zbiorczy!$O$16:$P$16</c:f>
              <c:numCache>
                <c:formatCode>0%</c:formatCode>
                <c:ptCount val="2"/>
                <c:pt idx="0">
                  <c:v>0.47442958300551158</c:v>
                </c:pt>
                <c:pt idx="1">
                  <c:v>0.52557041699450002</c:v>
                </c:pt>
              </c:numCache>
            </c:numRef>
          </c:val>
        </c:ser>
        <c:ser>
          <c:idx val="10"/>
          <c:order val="6"/>
          <c:val>
            <c:numLit>
              <c:formatCode>General</c:formatCode>
              <c:ptCount val="1"/>
              <c:pt idx="0">
                <c:v>0</c:v>
              </c:pt>
            </c:numLit>
          </c:val>
        </c:ser>
        <c:ser>
          <c:idx val="5"/>
          <c:order val="7"/>
          <c:tx>
            <c:v>Wiek: 18-29</c:v>
          </c:tx>
          <c:val>
            <c:numRef>
              <c:f>Zbiorczy!$R$16:$S$16</c:f>
              <c:numCache>
                <c:formatCode>0%</c:formatCode>
                <c:ptCount val="2"/>
                <c:pt idx="0">
                  <c:v>0.24178403755868544</c:v>
                </c:pt>
                <c:pt idx="1">
                  <c:v>0.75821596244131462</c:v>
                </c:pt>
              </c:numCache>
            </c:numRef>
          </c:val>
        </c:ser>
        <c:ser>
          <c:idx val="6"/>
          <c:order val="8"/>
          <c:tx>
            <c:v>Wiek: 30-39</c:v>
          </c:tx>
          <c:val>
            <c:numRef>
              <c:f>Zbiorczy!$U$16:$V$16</c:f>
              <c:numCache>
                <c:formatCode>0%</c:formatCode>
                <c:ptCount val="2"/>
                <c:pt idx="0">
                  <c:v>0.37905236907731205</c:v>
                </c:pt>
                <c:pt idx="1">
                  <c:v>0.62094763092269989</c:v>
                </c:pt>
              </c:numCache>
            </c:numRef>
          </c:val>
        </c:ser>
        <c:ser>
          <c:idx val="7"/>
          <c:order val="9"/>
          <c:tx>
            <c:v>Wiek: 40-59</c:v>
          </c:tx>
          <c:val>
            <c:numRef>
              <c:f>Zbiorczy!$X$16:$Y$16</c:f>
              <c:numCache>
                <c:formatCode>0%</c:formatCode>
                <c:ptCount val="2"/>
                <c:pt idx="0">
                  <c:v>0.54393305439330564</c:v>
                </c:pt>
                <c:pt idx="1">
                  <c:v>0.45606694560669458</c:v>
                </c:pt>
              </c:numCache>
            </c:numRef>
          </c:val>
        </c:ser>
        <c:ser>
          <c:idx val="8"/>
          <c:order val="10"/>
          <c:tx>
            <c:v>Wiek: 60 i powyżej</c:v>
          </c:tx>
          <c:val>
            <c:numRef>
              <c:f>Zbiorczy!$AA$16:$AB$16</c:f>
              <c:numCache>
                <c:formatCode>0%</c:formatCode>
                <c:ptCount val="2"/>
                <c:pt idx="0">
                  <c:v>0.54757281553398063</c:v>
                </c:pt>
                <c:pt idx="1">
                  <c:v>0.45242718446601943</c:v>
                </c:pt>
              </c:numCache>
            </c:numRef>
          </c:val>
        </c:ser>
        <c:gapWidth val="136"/>
        <c:overlap val="-15"/>
        <c:axId val="183415168"/>
        <c:axId val="183416704"/>
      </c:barChart>
      <c:catAx>
        <c:axId val="183415168"/>
        <c:scaling>
          <c:orientation val="minMax"/>
        </c:scaling>
        <c:axPos val="b"/>
        <c:majorGridlines/>
        <c:tickLblPos val="nextTo"/>
        <c:crossAx val="183416704"/>
        <c:crosses val="autoZero"/>
        <c:auto val="1"/>
        <c:lblAlgn val="ctr"/>
        <c:lblOffset val="100"/>
      </c:catAx>
      <c:valAx>
        <c:axId val="183416704"/>
        <c:scaling>
          <c:orientation val="minMax"/>
        </c:scaling>
        <c:axPos val="l"/>
        <c:numFmt formatCode="0%" sourceLinked="1"/>
        <c:tickLblPos val="nextTo"/>
        <c:txPr>
          <a:bodyPr/>
          <a:lstStyle/>
          <a:p>
            <a:pPr>
              <a:defRPr sz="800"/>
            </a:pPr>
            <a:endParaRPr lang="pl-PL"/>
          </a:p>
        </c:txPr>
        <c:crossAx val="183415168"/>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7.2051920256284901E-2"/>
          <c:y val="0.70868156595141307"/>
          <c:w val="0.91831346350436049"/>
          <c:h val="0.26529596798621968"/>
        </c:manualLayout>
      </c:layout>
      <c:txPr>
        <a:bodyPr/>
        <a:lstStyle/>
        <a:p>
          <a:pPr>
            <a:defRPr sz="800"/>
          </a:pPr>
          <a:endParaRPr lang="pl-PL"/>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4.1818708022713903E-2"/>
          <c:y val="8.1412951723280585E-2"/>
          <c:w val="0.90479726155903561"/>
          <c:h val="0.36115521399729988"/>
        </c:manualLayout>
      </c:layout>
      <c:barChart>
        <c:barDir val="bar"/>
        <c:grouping val="percentStacked"/>
        <c:ser>
          <c:idx val="0"/>
          <c:order val="0"/>
          <c:tx>
            <c:strRef>
              <c:f>'Dane wg podgr. cech'!$B$35</c:f>
              <c:strCache>
                <c:ptCount val="1"/>
                <c:pt idx="0">
                  <c:v>Rolnictwo, leśnictwo, łowiectwo i rybactwo</c:v>
                </c:pt>
              </c:strCache>
            </c:strRef>
          </c:tx>
          <c:val>
            <c:numRef>
              <c:f>'Dane wg podgr. cech'!$C$35</c:f>
              <c:numCache>
                <c:formatCode>General</c:formatCode>
                <c:ptCount val="1"/>
                <c:pt idx="0">
                  <c:v>39</c:v>
                </c:pt>
              </c:numCache>
            </c:numRef>
          </c:val>
        </c:ser>
        <c:ser>
          <c:idx val="1"/>
          <c:order val="1"/>
          <c:tx>
            <c:strRef>
              <c:f>'Dane wg podgr. cech'!$B$36</c:f>
              <c:strCache>
                <c:ptCount val="1"/>
                <c:pt idx="0">
                  <c:v>Przemysł i budownictwo</c:v>
                </c:pt>
              </c:strCache>
            </c:strRef>
          </c:tx>
          <c:val>
            <c:numRef>
              <c:f>'Dane wg podgr. cech'!$C$36</c:f>
              <c:numCache>
                <c:formatCode>General</c:formatCode>
                <c:ptCount val="1"/>
                <c:pt idx="0">
                  <c:v>4355</c:v>
                </c:pt>
              </c:numCache>
            </c:numRef>
          </c:val>
        </c:ser>
        <c:ser>
          <c:idx val="2"/>
          <c:order val="2"/>
          <c:tx>
            <c:strRef>
              <c:f>'Dane wg podgr. cech'!$B$37</c:f>
              <c:strCache>
                <c:ptCount val="1"/>
                <c:pt idx="0">
                  <c:v>Handel i naprawa pojazdów samochodowych, transport i gospodarka magazynowa, zakwaterowanie i gastronomia, informacja i komunikacja</c:v>
                </c:pt>
              </c:strCache>
            </c:strRef>
          </c:tx>
          <c:val>
            <c:numRef>
              <c:f>'Dane wg podgr. cech'!$C$37</c:f>
              <c:numCache>
                <c:formatCode>General</c:formatCode>
                <c:ptCount val="1"/>
                <c:pt idx="0">
                  <c:v>1613</c:v>
                </c:pt>
              </c:numCache>
            </c:numRef>
          </c:val>
        </c:ser>
        <c:ser>
          <c:idx val="3"/>
          <c:order val="3"/>
          <c:tx>
            <c:strRef>
              <c:f>'Dane wg podgr. cech'!$B$38</c:f>
              <c:strCache>
                <c:ptCount val="1"/>
                <c:pt idx="0">
                  <c:v>Pozostałe usługi</c:v>
                </c:pt>
              </c:strCache>
            </c:strRef>
          </c:tx>
          <c:val>
            <c:numRef>
              <c:f>'Dane wg podgr. cech'!$C$38</c:f>
              <c:numCache>
                <c:formatCode>General</c:formatCode>
                <c:ptCount val="1"/>
                <c:pt idx="0">
                  <c:v>3638</c:v>
                </c:pt>
              </c:numCache>
            </c:numRef>
          </c:val>
        </c:ser>
        <c:gapWidth val="55"/>
        <c:overlap val="100"/>
        <c:axId val="167813504"/>
        <c:axId val="167815040"/>
      </c:barChart>
      <c:catAx>
        <c:axId val="167813504"/>
        <c:scaling>
          <c:orientation val="minMax"/>
        </c:scaling>
        <c:delete val="1"/>
        <c:axPos val="l"/>
        <c:majorTickMark val="none"/>
        <c:tickLblPos val="none"/>
        <c:crossAx val="167815040"/>
        <c:crosses val="autoZero"/>
        <c:auto val="1"/>
        <c:lblAlgn val="ctr"/>
        <c:lblOffset val="100"/>
      </c:catAx>
      <c:valAx>
        <c:axId val="167815040"/>
        <c:scaling>
          <c:orientation val="minMax"/>
        </c:scaling>
        <c:axPos val="b"/>
        <c:majorGridlines/>
        <c:numFmt formatCode="0%" sourceLinked="1"/>
        <c:majorTickMark val="none"/>
        <c:tickLblPos val="nextTo"/>
        <c:txPr>
          <a:bodyPr/>
          <a:lstStyle/>
          <a:p>
            <a:pPr>
              <a:defRPr sz="900"/>
            </a:pPr>
            <a:endParaRPr lang="pl-PL"/>
          </a:p>
        </c:txPr>
        <c:crossAx val="167813504"/>
        <c:crosses val="autoZero"/>
        <c:crossBetween val="between"/>
        <c:majorUnit val="0.1"/>
      </c:valAx>
    </c:plotArea>
    <c:legend>
      <c:legendPos val="b"/>
      <c:layout>
        <c:manualLayout>
          <c:xMode val="edge"/>
          <c:yMode val="edge"/>
          <c:x val="0.10647596472261779"/>
          <c:y val="0.57705300233228563"/>
          <c:w val="0.82817901632207602"/>
          <c:h val="0.41985562415414152"/>
        </c:manualLayout>
      </c:layout>
      <c:txPr>
        <a:bodyPr/>
        <a:lstStyle/>
        <a:p>
          <a:pPr>
            <a:defRPr sz="900"/>
          </a:pPr>
          <a:endParaRPr lang="pl-PL"/>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Zbiorczy!$E$16</c:f>
              <c:numCache>
                <c:formatCode>General</c:formatCode>
                <c:ptCount val="1"/>
                <c:pt idx="0">
                  <c:v>3.9570815450643892</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Zbiorczy!$H$16</c:f>
              <c:numCache>
                <c:formatCode>General</c:formatCode>
                <c:ptCount val="1"/>
                <c:pt idx="0">
                  <c:v>4.0993150684931505</c:v>
                </c:pt>
              </c:numCache>
            </c:numRef>
          </c:val>
        </c:ser>
        <c:ser>
          <c:idx val="9"/>
          <c:order val="2"/>
          <c:val>
            <c:numLit>
              <c:formatCode>General</c:formatCode>
              <c:ptCount val="1"/>
              <c:pt idx="0">
                <c:v>0</c:v>
              </c:pt>
            </c:numLit>
          </c:val>
        </c:ser>
        <c:ser>
          <c:idx val="2"/>
          <c:order val="3"/>
          <c:tx>
            <c:v>Wykształcenie wyższe</c:v>
          </c:tx>
          <c:val>
            <c:numRef>
              <c:f>Zbiorczy!$K$16</c:f>
              <c:numCache>
                <c:formatCode>General</c:formatCode>
                <c:ptCount val="1"/>
                <c:pt idx="0">
                  <c:v>4.0298507462686555</c:v>
                </c:pt>
              </c:numCache>
            </c:numRef>
          </c:val>
        </c:ser>
        <c:ser>
          <c:idx val="3"/>
          <c:order val="4"/>
          <c:tx>
            <c:v>Wykształcenie średnie i policealne</c:v>
          </c:tx>
          <c:val>
            <c:numRef>
              <c:f>Zbiorczy!$N$16</c:f>
              <c:numCache>
                <c:formatCode>General</c:formatCode>
                <c:ptCount val="1"/>
                <c:pt idx="0">
                  <c:v>4.0697674418604723</c:v>
                </c:pt>
              </c:numCache>
            </c:numRef>
          </c:val>
        </c:ser>
        <c:ser>
          <c:idx val="4"/>
          <c:order val="5"/>
          <c:tx>
            <c:v>Wykształcenie zasadnicze zawodowe i poniżej</c:v>
          </c:tx>
          <c:val>
            <c:numRef>
              <c:f>Zbiorczy!$Q$16</c:f>
              <c:numCache>
                <c:formatCode>General</c:formatCode>
                <c:ptCount val="1"/>
                <c:pt idx="0">
                  <c:v>4.0175438596491215</c:v>
                </c:pt>
              </c:numCache>
            </c:numRef>
          </c:val>
        </c:ser>
        <c:ser>
          <c:idx val="10"/>
          <c:order val="6"/>
          <c:val>
            <c:numLit>
              <c:formatCode>General</c:formatCode>
              <c:ptCount val="1"/>
              <c:pt idx="0">
                <c:v>0</c:v>
              </c:pt>
            </c:numLit>
          </c:val>
        </c:ser>
        <c:ser>
          <c:idx val="5"/>
          <c:order val="7"/>
          <c:tx>
            <c:v>Wiek: 18-29</c:v>
          </c:tx>
          <c:val>
            <c:numRef>
              <c:f>Zbiorczy!$T$16</c:f>
              <c:numCache>
                <c:formatCode>General</c:formatCode>
                <c:ptCount val="1"/>
                <c:pt idx="0">
                  <c:v>3.92</c:v>
                </c:pt>
              </c:numCache>
            </c:numRef>
          </c:val>
        </c:ser>
        <c:ser>
          <c:idx val="6"/>
          <c:order val="8"/>
          <c:tx>
            <c:v>Wiek: 30-39</c:v>
          </c:tx>
          <c:val>
            <c:numRef>
              <c:f>Zbiorczy!$W$16</c:f>
              <c:numCache>
                <c:formatCode>General</c:formatCode>
                <c:ptCount val="1"/>
                <c:pt idx="0">
                  <c:v>4.0210526315789465</c:v>
                </c:pt>
              </c:numCache>
            </c:numRef>
          </c:val>
        </c:ser>
        <c:ser>
          <c:idx val="7"/>
          <c:order val="9"/>
          <c:tx>
            <c:v>Wiek: 40-59</c:v>
          </c:tx>
          <c:val>
            <c:numRef>
              <c:f>Zbiorczy!$Z$16</c:f>
              <c:numCache>
                <c:formatCode>General</c:formatCode>
                <c:ptCount val="1"/>
                <c:pt idx="0">
                  <c:v>4.0896226415094414</c:v>
                </c:pt>
              </c:numCache>
            </c:numRef>
          </c:val>
        </c:ser>
        <c:ser>
          <c:idx val="8"/>
          <c:order val="10"/>
          <c:tx>
            <c:v>Wiek: 60 i powyżej</c:v>
          </c:tx>
          <c:val>
            <c:numRef>
              <c:f>Zbiorczy!$AC$16</c:f>
              <c:numCache>
                <c:formatCode>General</c:formatCode>
                <c:ptCount val="1"/>
                <c:pt idx="0">
                  <c:v>4.0517241379310374</c:v>
                </c:pt>
              </c:numCache>
            </c:numRef>
          </c:val>
        </c:ser>
        <c:axId val="184008064"/>
        <c:axId val="184018048"/>
      </c:barChart>
      <c:catAx>
        <c:axId val="184008064"/>
        <c:scaling>
          <c:orientation val="minMax"/>
        </c:scaling>
        <c:delete val="1"/>
        <c:axPos val="b"/>
        <c:tickLblPos val="none"/>
        <c:crossAx val="184018048"/>
        <c:crosses val="autoZero"/>
        <c:auto val="1"/>
        <c:lblAlgn val="ctr"/>
        <c:lblOffset val="100"/>
      </c:catAx>
      <c:valAx>
        <c:axId val="184018048"/>
        <c:scaling>
          <c:orientation val="minMax"/>
        </c:scaling>
        <c:axPos val="l"/>
        <c:numFmt formatCode="General" sourceLinked="1"/>
        <c:tickLblPos val="nextTo"/>
        <c:txPr>
          <a:bodyPr/>
          <a:lstStyle/>
          <a:p>
            <a:pPr>
              <a:defRPr sz="800"/>
            </a:pPr>
            <a:endParaRPr lang="pl-PL"/>
          </a:p>
        </c:txPr>
        <c:crossAx val="184008064"/>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6.3433071703766122E-2"/>
          <c:y val="0.71467666700337196"/>
          <c:w val="0.91189217775115428"/>
          <c:h val="0.25983638853341701"/>
        </c:manualLayout>
      </c:layout>
      <c:txPr>
        <a:bodyPr/>
        <a:lstStyle/>
        <a:p>
          <a:pPr>
            <a:defRPr sz="800"/>
          </a:pPr>
          <a:endParaRPr lang="pl-PL"/>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Zbiorczy!$C$4:$D$4</c:f>
              <c:numCache>
                <c:formatCode>0%</c:formatCode>
                <c:ptCount val="2"/>
                <c:pt idx="0">
                  <c:v>0.13919821826280623</c:v>
                </c:pt>
                <c:pt idx="1">
                  <c:v>0.86080178173719379</c:v>
                </c:pt>
              </c:numCache>
            </c:numRef>
          </c:val>
        </c:ser>
        <c:ser>
          <c:idx val="1"/>
          <c:order val="1"/>
          <c:tx>
            <c:v>Kobiety</c:v>
          </c:tx>
          <c:dLbls>
            <c:txPr>
              <a:bodyPr rot="-5400000" vert="horz"/>
              <a:lstStyle/>
              <a:p>
                <a:pPr>
                  <a:defRPr sz="900"/>
                </a:pPr>
                <a:endParaRPr lang="pl-PL"/>
              </a:p>
            </c:txPr>
            <c:showSerName val="1"/>
          </c:dLbls>
          <c:val>
            <c:numRef>
              <c:f>Zbiorczy!$F$4:$G$4</c:f>
              <c:numCache>
                <c:formatCode>0%</c:formatCode>
                <c:ptCount val="2"/>
                <c:pt idx="0">
                  <c:v>8.9597570235384727E-2</c:v>
                </c:pt>
                <c:pt idx="1">
                  <c:v>0.91040242976460772</c:v>
                </c:pt>
              </c:numCache>
            </c:numRef>
          </c:val>
        </c:ser>
        <c:ser>
          <c:idx val="9"/>
          <c:order val="2"/>
          <c:val>
            <c:numLit>
              <c:formatCode>General</c:formatCode>
              <c:ptCount val="1"/>
              <c:pt idx="0">
                <c:v>0</c:v>
              </c:pt>
            </c:numLit>
          </c:val>
        </c:ser>
        <c:ser>
          <c:idx val="2"/>
          <c:order val="3"/>
          <c:tx>
            <c:v>Wykształcenie wyższe</c:v>
          </c:tx>
          <c:val>
            <c:numRef>
              <c:f>Zbiorczy!$I$4:$J$4</c:f>
              <c:numCache>
                <c:formatCode>0%</c:formatCode>
                <c:ptCount val="2"/>
                <c:pt idx="0">
                  <c:v>0.25510204081632259</c:v>
                </c:pt>
                <c:pt idx="1">
                  <c:v>0.74489795918368273</c:v>
                </c:pt>
              </c:numCache>
            </c:numRef>
          </c:val>
        </c:ser>
        <c:ser>
          <c:idx val="3"/>
          <c:order val="4"/>
          <c:tx>
            <c:v>Wykształcenie średnie i policealne</c:v>
          </c:tx>
          <c:val>
            <c:numRef>
              <c:f>Zbiorczy!$L$4:$M$4</c:f>
              <c:numCache>
                <c:formatCode>0%</c:formatCode>
                <c:ptCount val="2"/>
                <c:pt idx="0">
                  <c:v>8.3700440528636191E-2</c:v>
                </c:pt>
                <c:pt idx="1">
                  <c:v>0.91629955947136554</c:v>
                </c:pt>
              </c:numCache>
            </c:numRef>
          </c:val>
        </c:ser>
        <c:ser>
          <c:idx val="4"/>
          <c:order val="5"/>
          <c:tx>
            <c:v>Wykształcenie zasadnicze zawodowe i poniżej</c:v>
          </c:tx>
          <c:val>
            <c:numRef>
              <c:f>Zbiorczy!$O$4:$P$4</c:f>
              <c:numCache>
                <c:formatCode>0%</c:formatCode>
                <c:ptCount val="2"/>
                <c:pt idx="0">
                  <c:v>8.9733225545675227E-2</c:v>
                </c:pt>
                <c:pt idx="1">
                  <c:v>0.91026677445432458</c:v>
                </c:pt>
              </c:numCache>
            </c:numRef>
          </c:val>
        </c:ser>
        <c:ser>
          <c:idx val="10"/>
          <c:order val="6"/>
          <c:val>
            <c:numLit>
              <c:formatCode>General</c:formatCode>
              <c:ptCount val="1"/>
              <c:pt idx="0">
                <c:v>0</c:v>
              </c:pt>
            </c:numLit>
          </c:val>
        </c:ser>
        <c:ser>
          <c:idx val="5"/>
          <c:order val="7"/>
          <c:tx>
            <c:v>Wiek: 18-29</c:v>
          </c:tx>
          <c:val>
            <c:numRef>
              <c:f>Zbiorczy!$R$4:$S$4</c:f>
              <c:numCache>
                <c:formatCode>0%</c:formatCode>
                <c:ptCount val="2"/>
                <c:pt idx="0">
                  <c:v>0.11825192802056556</c:v>
                </c:pt>
                <c:pt idx="1">
                  <c:v>0.88174807197943461</c:v>
                </c:pt>
              </c:numCache>
            </c:numRef>
          </c:val>
        </c:ser>
        <c:ser>
          <c:idx val="6"/>
          <c:order val="8"/>
          <c:tx>
            <c:v>Wiek: 30-39</c:v>
          </c:tx>
          <c:val>
            <c:numRef>
              <c:f>Zbiorczy!$U$4:$V$4</c:f>
              <c:numCache>
                <c:formatCode>0%</c:formatCode>
                <c:ptCount val="2"/>
                <c:pt idx="0">
                  <c:v>0.1830238726790451</c:v>
                </c:pt>
                <c:pt idx="1">
                  <c:v>0.81697612732095459</c:v>
                </c:pt>
              </c:numCache>
            </c:numRef>
          </c:val>
        </c:ser>
        <c:ser>
          <c:idx val="7"/>
          <c:order val="9"/>
          <c:tx>
            <c:v>Wiek: 40-59</c:v>
          </c:tx>
          <c:val>
            <c:numRef>
              <c:f>Zbiorczy!$X$4:$Y$4</c:f>
              <c:numCache>
                <c:formatCode>0%</c:formatCode>
                <c:ptCount val="2"/>
                <c:pt idx="0">
                  <c:v>8.7936865839909867E-2</c:v>
                </c:pt>
                <c:pt idx="1">
                  <c:v>0.91206313416009022</c:v>
                </c:pt>
              </c:numCache>
            </c:numRef>
          </c:val>
        </c:ser>
        <c:ser>
          <c:idx val="8"/>
          <c:order val="10"/>
          <c:tx>
            <c:v>Wiek: 60 i powyżej</c:v>
          </c:tx>
          <c:val>
            <c:numRef>
              <c:f>Zbiorczy!$AA$4:$AB$4</c:f>
              <c:numCache>
                <c:formatCode>0%</c:formatCode>
                <c:ptCount val="2"/>
                <c:pt idx="0">
                  <c:v>9.0090090090091751E-2</c:v>
                </c:pt>
                <c:pt idx="1">
                  <c:v>0.9099099099099095</c:v>
                </c:pt>
              </c:numCache>
            </c:numRef>
          </c:val>
        </c:ser>
        <c:gapWidth val="136"/>
        <c:overlap val="-15"/>
        <c:axId val="184068736"/>
        <c:axId val="184082816"/>
      </c:barChart>
      <c:catAx>
        <c:axId val="184068736"/>
        <c:scaling>
          <c:orientation val="minMax"/>
        </c:scaling>
        <c:axPos val="b"/>
        <c:majorGridlines/>
        <c:tickLblPos val="nextTo"/>
        <c:crossAx val="184082816"/>
        <c:crosses val="autoZero"/>
        <c:auto val="1"/>
        <c:lblAlgn val="ctr"/>
        <c:lblOffset val="100"/>
      </c:catAx>
      <c:valAx>
        <c:axId val="184082816"/>
        <c:scaling>
          <c:orientation val="minMax"/>
        </c:scaling>
        <c:axPos val="l"/>
        <c:numFmt formatCode="0%" sourceLinked="1"/>
        <c:tickLblPos val="nextTo"/>
        <c:txPr>
          <a:bodyPr/>
          <a:lstStyle/>
          <a:p>
            <a:pPr>
              <a:defRPr sz="800"/>
            </a:pPr>
            <a:endParaRPr lang="pl-PL"/>
          </a:p>
        </c:txPr>
        <c:crossAx val="184068736"/>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8.3350028803587065E-2"/>
          <c:y val="0.7148737914181722"/>
          <c:w val="0.88878486726737072"/>
          <c:h val="0.25965687255939751"/>
        </c:manualLayout>
      </c:layout>
      <c:txPr>
        <a:bodyPr/>
        <a:lstStyle/>
        <a:p>
          <a:pPr>
            <a:defRPr sz="800"/>
          </a:pPr>
          <a:endParaRPr lang="pl-PL"/>
        </a:p>
      </c:txPr>
    </c:legend>
    <c:plotVisOnly val="1"/>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Zbiorczy!$E$4</c:f>
              <c:numCache>
                <c:formatCode>General</c:formatCode>
                <c:ptCount val="1"/>
                <c:pt idx="0">
                  <c:v>3.3463203463203492</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Zbiorczy!$H$4</c:f>
              <c:numCache>
                <c:formatCode>General</c:formatCode>
                <c:ptCount val="1"/>
                <c:pt idx="0">
                  <c:v>3.75</c:v>
                </c:pt>
              </c:numCache>
            </c:numRef>
          </c:val>
        </c:ser>
        <c:ser>
          <c:idx val="9"/>
          <c:order val="2"/>
          <c:val>
            <c:numLit>
              <c:formatCode>General</c:formatCode>
              <c:ptCount val="1"/>
              <c:pt idx="0">
                <c:v>0</c:v>
              </c:pt>
            </c:numLit>
          </c:val>
        </c:ser>
        <c:ser>
          <c:idx val="2"/>
          <c:order val="3"/>
          <c:tx>
            <c:v>Wykształcenie wyższe</c:v>
          </c:tx>
          <c:val>
            <c:numRef>
              <c:f>Zbiorczy!$K$4</c:f>
              <c:numCache>
                <c:formatCode>General</c:formatCode>
                <c:ptCount val="1"/>
                <c:pt idx="0">
                  <c:v>3.75</c:v>
                </c:pt>
              </c:numCache>
            </c:numRef>
          </c:val>
        </c:ser>
        <c:ser>
          <c:idx val="3"/>
          <c:order val="4"/>
          <c:tx>
            <c:v>Wykształcenie średnie i policealne</c:v>
          </c:tx>
          <c:val>
            <c:numRef>
              <c:f>Zbiorczy!$N$4</c:f>
              <c:numCache>
                <c:formatCode>General</c:formatCode>
                <c:ptCount val="1"/>
                <c:pt idx="0">
                  <c:v>3.4176470588235293</c:v>
                </c:pt>
              </c:numCache>
            </c:numRef>
          </c:val>
        </c:ser>
        <c:ser>
          <c:idx val="4"/>
          <c:order val="5"/>
          <c:tx>
            <c:v>Wykształcenie zasadnicze zawodowe i poniżej</c:v>
          </c:tx>
          <c:val>
            <c:numRef>
              <c:f>Zbiorczy!$Q$4</c:f>
              <c:numCache>
                <c:formatCode>General</c:formatCode>
                <c:ptCount val="1"/>
                <c:pt idx="0">
                  <c:v>3.6232394366197185</c:v>
                </c:pt>
              </c:numCache>
            </c:numRef>
          </c:val>
        </c:ser>
        <c:ser>
          <c:idx val="10"/>
          <c:order val="6"/>
          <c:val>
            <c:numLit>
              <c:formatCode>General</c:formatCode>
              <c:ptCount val="1"/>
              <c:pt idx="0">
                <c:v>0</c:v>
              </c:pt>
            </c:numLit>
          </c:val>
        </c:ser>
        <c:ser>
          <c:idx val="5"/>
          <c:order val="7"/>
          <c:tx>
            <c:v>Wiek: 18-29</c:v>
          </c:tx>
          <c:val>
            <c:numRef>
              <c:f>Zbiorczy!$T$4</c:f>
              <c:numCache>
                <c:formatCode>General</c:formatCode>
                <c:ptCount val="1"/>
                <c:pt idx="0">
                  <c:v>3.4099999999999997</c:v>
                </c:pt>
              </c:numCache>
            </c:numRef>
          </c:val>
        </c:ser>
        <c:ser>
          <c:idx val="6"/>
          <c:order val="8"/>
          <c:tx>
            <c:v>Wiek: 30-39</c:v>
          </c:tx>
          <c:val>
            <c:numRef>
              <c:f>Zbiorczy!$W$4</c:f>
              <c:numCache>
                <c:formatCode>General</c:formatCode>
                <c:ptCount val="1"/>
                <c:pt idx="0">
                  <c:v>3.3958333333333024</c:v>
                </c:pt>
              </c:numCache>
            </c:numRef>
          </c:val>
        </c:ser>
        <c:ser>
          <c:idx val="7"/>
          <c:order val="9"/>
          <c:tx>
            <c:v>Wiek: 40-59</c:v>
          </c:tx>
          <c:val>
            <c:numRef>
              <c:f>Zbiorczy!$Z$4</c:f>
              <c:numCache>
                <c:formatCode>General</c:formatCode>
                <c:ptCount val="1"/>
                <c:pt idx="0">
                  <c:v>3.5571428571428592</c:v>
                </c:pt>
              </c:numCache>
            </c:numRef>
          </c:val>
        </c:ser>
        <c:ser>
          <c:idx val="8"/>
          <c:order val="10"/>
          <c:tx>
            <c:v>Wiek: 60 i powyżej</c:v>
          </c:tx>
          <c:val>
            <c:numRef>
              <c:f>Zbiorczy!$AC$4</c:f>
              <c:numCache>
                <c:formatCode>General</c:formatCode>
                <c:ptCount val="1"/>
                <c:pt idx="0">
                  <c:v>3.8869565217391187</c:v>
                </c:pt>
              </c:numCache>
            </c:numRef>
          </c:val>
        </c:ser>
        <c:axId val="184215424"/>
        <c:axId val="184216960"/>
      </c:barChart>
      <c:catAx>
        <c:axId val="184215424"/>
        <c:scaling>
          <c:orientation val="minMax"/>
        </c:scaling>
        <c:delete val="1"/>
        <c:axPos val="b"/>
        <c:tickLblPos val="none"/>
        <c:crossAx val="184216960"/>
        <c:crosses val="autoZero"/>
        <c:auto val="1"/>
        <c:lblAlgn val="ctr"/>
        <c:lblOffset val="100"/>
      </c:catAx>
      <c:valAx>
        <c:axId val="184216960"/>
        <c:scaling>
          <c:orientation val="minMax"/>
        </c:scaling>
        <c:axPos val="l"/>
        <c:numFmt formatCode="General" sourceLinked="1"/>
        <c:tickLblPos val="nextTo"/>
        <c:txPr>
          <a:bodyPr/>
          <a:lstStyle/>
          <a:p>
            <a:pPr>
              <a:defRPr sz="800"/>
            </a:pPr>
            <a:endParaRPr lang="pl-PL"/>
          </a:p>
        </c:txPr>
        <c:crossAx val="184215424"/>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7.3915485526332592E-2"/>
          <c:y val="0.7188392068764019"/>
          <c:w val="0.89810265815082568"/>
          <c:h val="0.25604567392071731"/>
        </c:manualLayout>
      </c:layout>
      <c:txPr>
        <a:bodyPr/>
        <a:lstStyle/>
        <a:p>
          <a:pPr>
            <a:defRPr sz="800"/>
          </a:pPr>
          <a:endParaRPr lang="pl-PL"/>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3994327098002844E-2"/>
          <c:y val="3.745331682931665E-2"/>
          <c:w val="0.88175523198489514"/>
          <c:h val="0.60025818516019702"/>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Zbiorczy!$C$19:$D$19</c:f>
              <c:numCache>
                <c:formatCode>0%</c:formatCode>
                <c:ptCount val="2"/>
                <c:pt idx="0">
                  <c:v>0.13035019455252941</c:v>
                </c:pt>
                <c:pt idx="1">
                  <c:v>0.8696498054474846</c:v>
                </c:pt>
              </c:numCache>
            </c:numRef>
          </c:val>
        </c:ser>
        <c:ser>
          <c:idx val="1"/>
          <c:order val="1"/>
          <c:tx>
            <c:v>Kobiety</c:v>
          </c:tx>
          <c:dLbls>
            <c:txPr>
              <a:bodyPr rot="-5400000" vert="horz"/>
              <a:lstStyle/>
              <a:p>
                <a:pPr>
                  <a:defRPr sz="900"/>
                </a:pPr>
                <a:endParaRPr lang="pl-PL"/>
              </a:p>
            </c:txPr>
            <c:showSerName val="1"/>
          </c:dLbls>
          <c:val>
            <c:numRef>
              <c:f>Zbiorczy!$F$19:$G$19</c:f>
              <c:numCache>
                <c:formatCode>0%</c:formatCode>
                <c:ptCount val="2"/>
                <c:pt idx="0">
                  <c:v>0.1286449399656947</c:v>
                </c:pt>
                <c:pt idx="1">
                  <c:v>0.87135506003430563</c:v>
                </c:pt>
              </c:numCache>
            </c:numRef>
          </c:val>
        </c:ser>
        <c:ser>
          <c:idx val="2"/>
          <c:order val="2"/>
          <c:val>
            <c:numLit>
              <c:formatCode>General</c:formatCode>
              <c:ptCount val="1"/>
              <c:pt idx="0">
                <c:v>0</c:v>
              </c:pt>
            </c:numLit>
          </c:val>
        </c:ser>
        <c:ser>
          <c:idx val="3"/>
          <c:order val="3"/>
          <c:tx>
            <c:v>Wykształcenie wyższe</c:v>
          </c:tx>
          <c:val>
            <c:numRef>
              <c:f>Zbiorczy!$I$19:$J$19</c:f>
              <c:numCache>
                <c:formatCode>0%</c:formatCode>
                <c:ptCount val="2"/>
                <c:pt idx="0">
                  <c:v>0.26086956521739502</c:v>
                </c:pt>
                <c:pt idx="1">
                  <c:v>0.73913043478260854</c:v>
                </c:pt>
              </c:numCache>
            </c:numRef>
          </c:val>
        </c:ser>
        <c:ser>
          <c:idx val="4"/>
          <c:order val="4"/>
          <c:tx>
            <c:v>Wykształcenie średnie i policealne</c:v>
          </c:tx>
          <c:val>
            <c:numRef>
              <c:f>Zbiorczy!$L$19:$M$19</c:f>
              <c:numCache>
                <c:formatCode>0%</c:formatCode>
                <c:ptCount val="2"/>
                <c:pt idx="0">
                  <c:v>0.16201117318435754</c:v>
                </c:pt>
                <c:pt idx="1">
                  <c:v>0.83798882681564268</c:v>
                </c:pt>
              </c:numCache>
            </c:numRef>
          </c:val>
        </c:ser>
        <c:ser>
          <c:idx val="5"/>
          <c:order val="5"/>
          <c:tx>
            <c:v>Wykształcenie zasadnicze zawodowe i poniżej</c:v>
          </c:tx>
          <c:val>
            <c:numRef>
              <c:f>Zbiorczy!$O$19:$P$19</c:f>
              <c:numCache>
                <c:formatCode>0%</c:formatCode>
                <c:ptCount val="2"/>
                <c:pt idx="0">
                  <c:v>8.0402010050251188E-2</c:v>
                </c:pt>
                <c:pt idx="1">
                  <c:v>0.91959798994974118</c:v>
                </c:pt>
              </c:numCache>
            </c:numRef>
          </c:val>
        </c:ser>
        <c:ser>
          <c:idx val="6"/>
          <c:order val="6"/>
          <c:val>
            <c:numLit>
              <c:formatCode>General</c:formatCode>
              <c:ptCount val="1"/>
              <c:pt idx="0">
                <c:v>0</c:v>
              </c:pt>
            </c:numLit>
          </c:val>
        </c:ser>
        <c:ser>
          <c:idx val="7"/>
          <c:order val="7"/>
          <c:tx>
            <c:v>Wiek: 18-29</c:v>
          </c:tx>
          <c:val>
            <c:numRef>
              <c:f>Zbiorczy!$R$19:$S$19</c:f>
              <c:numCache>
                <c:formatCode>0%</c:formatCode>
                <c:ptCount val="2"/>
                <c:pt idx="0">
                  <c:v>0.21702127659574474</c:v>
                </c:pt>
                <c:pt idx="1">
                  <c:v>0.78297872340425534</c:v>
                </c:pt>
              </c:numCache>
            </c:numRef>
          </c:val>
        </c:ser>
        <c:ser>
          <c:idx val="8"/>
          <c:order val="8"/>
          <c:tx>
            <c:v>Wiek: 30-39</c:v>
          </c:tx>
          <c:val>
            <c:numRef>
              <c:f>Zbiorczy!$U$19:$V$19</c:f>
              <c:numCache>
                <c:formatCode>0%</c:formatCode>
                <c:ptCount val="2"/>
                <c:pt idx="0">
                  <c:v>0.20689655172413793</c:v>
                </c:pt>
                <c:pt idx="1">
                  <c:v>0.7931034482758621</c:v>
                </c:pt>
              </c:numCache>
            </c:numRef>
          </c:val>
        </c:ser>
        <c:ser>
          <c:idx val="9"/>
          <c:order val="9"/>
          <c:tx>
            <c:v>Wiek: 40-59</c:v>
          </c:tx>
          <c:val>
            <c:numRef>
              <c:f>Zbiorczy!$X$19:$Y$19</c:f>
              <c:numCache>
                <c:formatCode>0%</c:formatCode>
                <c:ptCount val="2"/>
                <c:pt idx="0">
                  <c:v>6.3569682151589313E-2</c:v>
                </c:pt>
                <c:pt idx="1">
                  <c:v>0.9364303178484108</c:v>
                </c:pt>
              </c:numCache>
            </c:numRef>
          </c:val>
        </c:ser>
        <c:ser>
          <c:idx val="10"/>
          <c:order val="10"/>
          <c:tx>
            <c:v>Wiek: 60 i powyżej</c:v>
          </c:tx>
          <c:val>
            <c:numRef>
              <c:f>Zbiorczy!$AA$19:$AB$19</c:f>
              <c:numCache>
                <c:formatCode>0%</c:formatCode>
                <c:ptCount val="2"/>
                <c:pt idx="0">
                  <c:v>7.83410138248848E-2</c:v>
                </c:pt>
                <c:pt idx="1">
                  <c:v>0.92165898617511965</c:v>
                </c:pt>
              </c:numCache>
            </c:numRef>
          </c:val>
        </c:ser>
        <c:gapWidth val="136"/>
        <c:overlap val="-15"/>
        <c:axId val="184771712"/>
        <c:axId val="184773248"/>
      </c:barChart>
      <c:catAx>
        <c:axId val="184771712"/>
        <c:scaling>
          <c:orientation val="minMax"/>
        </c:scaling>
        <c:axPos val="b"/>
        <c:majorGridlines/>
        <c:tickLblPos val="nextTo"/>
        <c:crossAx val="184773248"/>
        <c:crosses val="autoZero"/>
        <c:auto val="1"/>
        <c:lblAlgn val="ctr"/>
        <c:lblOffset val="100"/>
      </c:catAx>
      <c:valAx>
        <c:axId val="184773248"/>
        <c:scaling>
          <c:orientation val="minMax"/>
        </c:scaling>
        <c:axPos val="l"/>
        <c:numFmt formatCode="0%" sourceLinked="1"/>
        <c:tickLblPos val="nextTo"/>
        <c:txPr>
          <a:bodyPr/>
          <a:lstStyle/>
          <a:p>
            <a:pPr>
              <a:defRPr sz="800"/>
            </a:pPr>
            <a:endParaRPr lang="pl-PL"/>
          </a:p>
        </c:txPr>
        <c:crossAx val="184771712"/>
        <c:crosses val="autoZero"/>
        <c:crossBetween val="between"/>
      </c:valAx>
    </c:plotArea>
    <c:legend>
      <c:legendPos val="b"/>
      <c:legendEntry>
        <c:idx val="2"/>
        <c:delete val="1"/>
      </c:legendEntry>
      <c:legendEntry>
        <c:idx val="6"/>
        <c:delete val="1"/>
      </c:legendEntry>
      <c:layout>
        <c:manualLayout>
          <c:xMode val="edge"/>
          <c:yMode val="edge"/>
          <c:x val="2.7977232012665432E-2"/>
          <c:y val="0.73013594564299267"/>
          <c:w val="0.95065929258843529"/>
          <c:h val="0.24962361278600911"/>
        </c:manualLayout>
      </c:layout>
      <c:txPr>
        <a:bodyPr/>
        <a:lstStyle/>
        <a:p>
          <a:pPr>
            <a:defRPr sz="800"/>
          </a:pPr>
          <a:endParaRPr lang="pl-PL"/>
        </a:p>
      </c:txPr>
    </c:legend>
    <c:plotVisOnly val="1"/>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pPr>
                <a:endParaRPr lang="pl-PL"/>
              </a:p>
            </c:txPr>
            <c:dLblPos val="ctr"/>
            <c:showSerName val="1"/>
          </c:dLbls>
          <c:val>
            <c:numRef>
              <c:f>Zbiorczy!$E$19</c:f>
              <c:numCache>
                <c:formatCode>General</c:formatCode>
                <c:ptCount val="1"/>
                <c:pt idx="0">
                  <c:v>2.764957264957296</c:v>
                </c:pt>
              </c:numCache>
            </c:numRef>
          </c:val>
        </c:ser>
        <c:ser>
          <c:idx val="1"/>
          <c:order val="1"/>
          <c:tx>
            <c:v>Kobiety</c:v>
          </c:tx>
          <c:dLbls>
            <c:txPr>
              <a:bodyPr rot="-5400000" vert="horz"/>
              <a:lstStyle/>
              <a:p>
                <a:pPr>
                  <a:defRPr/>
                </a:pPr>
                <a:endParaRPr lang="pl-PL"/>
              </a:p>
            </c:txPr>
            <c:dLblPos val="ctr"/>
            <c:showSerName val="1"/>
          </c:dLbls>
          <c:val>
            <c:numRef>
              <c:f>Zbiorczy!$H$19</c:f>
              <c:numCache>
                <c:formatCode>General</c:formatCode>
                <c:ptCount val="1"/>
                <c:pt idx="0">
                  <c:v>2.4246575342465753</c:v>
                </c:pt>
              </c:numCache>
            </c:numRef>
          </c:val>
        </c:ser>
        <c:ser>
          <c:idx val="2"/>
          <c:order val="2"/>
          <c:val>
            <c:numLit>
              <c:formatCode>General</c:formatCode>
              <c:ptCount val="1"/>
              <c:pt idx="0">
                <c:v>0</c:v>
              </c:pt>
            </c:numLit>
          </c:val>
        </c:ser>
        <c:ser>
          <c:idx val="3"/>
          <c:order val="3"/>
          <c:tx>
            <c:v>Wykształcenie wyższe</c:v>
          </c:tx>
          <c:val>
            <c:numRef>
              <c:f>Zbiorczy!$K$19</c:f>
              <c:numCache>
                <c:formatCode>General</c:formatCode>
                <c:ptCount val="1"/>
                <c:pt idx="0">
                  <c:v>2.4393939393939377</c:v>
                </c:pt>
              </c:numCache>
            </c:numRef>
          </c:val>
        </c:ser>
        <c:ser>
          <c:idx val="4"/>
          <c:order val="4"/>
          <c:tx>
            <c:v>Wykształcenie średnie i policealne</c:v>
          </c:tx>
          <c:val>
            <c:numRef>
              <c:f>Zbiorczy!$N$19</c:f>
              <c:numCache>
                <c:formatCode>General</c:formatCode>
                <c:ptCount val="1"/>
                <c:pt idx="0">
                  <c:v>2.5</c:v>
                </c:pt>
              </c:numCache>
            </c:numRef>
          </c:val>
        </c:ser>
        <c:ser>
          <c:idx val="5"/>
          <c:order val="5"/>
          <c:tx>
            <c:v>Wykształcenie zasadnicze zawodowe i poniżej</c:v>
          </c:tx>
          <c:val>
            <c:numRef>
              <c:f>Zbiorczy!$Q$19</c:f>
              <c:numCache>
                <c:formatCode>General</c:formatCode>
                <c:ptCount val="1"/>
                <c:pt idx="0">
                  <c:v>2.6491228070175756</c:v>
                </c:pt>
              </c:numCache>
            </c:numRef>
          </c:val>
        </c:ser>
        <c:ser>
          <c:idx val="6"/>
          <c:order val="6"/>
          <c:val>
            <c:numLit>
              <c:formatCode>General</c:formatCode>
              <c:ptCount val="1"/>
              <c:pt idx="0">
                <c:v>0</c:v>
              </c:pt>
            </c:numLit>
          </c:val>
        </c:ser>
        <c:ser>
          <c:idx val="7"/>
          <c:order val="7"/>
          <c:tx>
            <c:v>Wiek: 18-29</c:v>
          </c:tx>
          <c:val>
            <c:numRef>
              <c:f>Zbiorczy!$T$19</c:f>
              <c:numCache>
                <c:formatCode>General</c:formatCode>
                <c:ptCount val="1"/>
                <c:pt idx="0">
                  <c:v>2.79</c:v>
                </c:pt>
              </c:numCache>
            </c:numRef>
          </c:val>
        </c:ser>
        <c:ser>
          <c:idx val="8"/>
          <c:order val="8"/>
          <c:tx>
            <c:v>Wiek: 30-39</c:v>
          </c:tx>
          <c:val>
            <c:numRef>
              <c:f>Zbiorczy!$W$19</c:f>
              <c:numCache>
                <c:formatCode>General</c:formatCode>
                <c:ptCount val="1"/>
                <c:pt idx="0">
                  <c:v>2.8191489361701629</c:v>
                </c:pt>
              </c:numCache>
            </c:numRef>
          </c:val>
        </c:ser>
        <c:ser>
          <c:idx val="9"/>
          <c:order val="9"/>
          <c:tx>
            <c:v>Wiek: 40-59</c:v>
          </c:tx>
          <c:val>
            <c:numRef>
              <c:f>Zbiorczy!$Z$19</c:f>
              <c:numCache>
                <c:formatCode>General</c:formatCode>
                <c:ptCount val="1"/>
                <c:pt idx="0">
                  <c:v>2.4626168224299065</c:v>
                </c:pt>
              </c:numCache>
            </c:numRef>
          </c:val>
        </c:ser>
        <c:ser>
          <c:idx val="10"/>
          <c:order val="10"/>
          <c:tx>
            <c:v>Wiek: 60 i powyżej</c:v>
          </c:tx>
          <c:val>
            <c:numRef>
              <c:f>Zbiorczy!$AC$19</c:f>
              <c:numCache>
                <c:formatCode>General</c:formatCode>
                <c:ptCount val="1"/>
                <c:pt idx="0">
                  <c:v>2.4051724137930712</c:v>
                </c:pt>
              </c:numCache>
            </c:numRef>
          </c:val>
        </c:ser>
        <c:axId val="184888704"/>
        <c:axId val="184894592"/>
      </c:barChart>
      <c:catAx>
        <c:axId val="184888704"/>
        <c:scaling>
          <c:orientation val="minMax"/>
        </c:scaling>
        <c:delete val="1"/>
        <c:axPos val="b"/>
        <c:tickLblPos val="none"/>
        <c:crossAx val="184894592"/>
        <c:crosses val="autoZero"/>
        <c:auto val="1"/>
        <c:lblAlgn val="ctr"/>
        <c:lblOffset val="100"/>
      </c:catAx>
      <c:valAx>
        <c:axId val="184894592"/>
        <c:scaling>
          <c:orientation val="minMax"/>
        </c:scaling>
        <c:axPos val="l"/>
        <c:numFmt formatCode="General" sourceLinked="1"/>
        <c:tickLblPos val="nextTo"/>
        <c:txPr>
          <a:bodyPr/>
          <a:lstStyle/>
          <a:p>
            <a:pPr>
              <a:defRPr sz="800"/>
            </a:pPr>
            <a:endParaRPr lang="pl-PL"/>
          </a:p>
        </c:txPr>
        <c:crossAx val="184888704"/>
        <c:crosses val="autoZero"/>
        <c:crossBetween val="between"/>
      </c:valAx>
    </c:plotArea>
    <c:legend>
      <c:legendPos val="b"/>
      <c:legendEntry>
        <c:idx val="2"/>
        <c:delete val="1"/>
      </c:legendEntry>
      <c:legendEntry>
        <c:idx val="6"/>
        <c:delete val="1"/>
      </c:legendEntry>
      <c:layout>
        <c:manualLayout>
          <c:xMode val="edge"/>
          <c:yMode val="edge"/>
          <c:x val="3.2386403088502831E-2"/>
          <c:y val="0.72704223930471024"/>
          <c:w val="0.95506846366426423"/>
          <c:h val="0.25271731912429546"/>
        </c:manualLayout>
      </c:layout>
      <c:txPr>
        <a:bodyPr/>
        <a:lstStyle/>
        <a:p>
          <a:pPr>
            <a:defRPr sz="800"/>
          </a:pPr>
          <a:endParaRPr lang="pl-PL"/>
        </a:p>
      </c:txPr>
    </c:legend>
    <c:plotVisOnly val="1"/>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8.2817078420752963E-2"/>
          <c:y val="3.745331682931665E-2"/>
          <c:w val="0.89293248066213948"/>
          <c:h val="0.62724544058820286"/>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Zbiorczy!$C$15:$D$15</c:f>
              <c:numCache>
                <c:formatCode>0%</c:formatCode>
                <c:ptCount val="2"/>
                <c:pt idx="0">
                  <c:v>0.41943419434194668</c:v>
                </c:pt>
                <c:pt idx="1">
                  <c:v>0.58056580565805649</c:v>
                </c:pt>
              </c:numCache>
            </c:numRef>
          </c:val>
        </c:ser>
        <c:ser>
          <c:idx val="1"/>
          <c:order val="1"/>
          <c:tx>
            <c:v>Kobiety</c:v>
          </c:tx>
          <c:dLbls>
            <c:txPr>
              <a:bodyPr rot="-5400000" vert="horz"/>
              <a:lstStyle/>
              <a:p>
                <a:pPr>
                  <a:defRPr sz="900"/>
                </a:pPr>
                <a:endParaRPr lang="pl-PL"/>
              </a:p>
            </c:txPr>
            <c:showSerName val="1"/>
          </c:dLbls>
          <c:val>
            <c:numRef>
              <c:f>Zbiorczy!$F$15:$G$15</c:f>
              <c:numCache>
                <c:formatCode>0%</c:formatCode>
                <c:ptCount val="2"/>
                <c:pt idx="0">
                  <c:v>0.40687919463087624</c:v>
                </c:pt>
                <c:pt idx="1">
                  <c:v>0.5931208053691277</c:v>
                </c:pt>
              </c:numCache>
            </c:numRef>
          </c:val>
        </c:ser>
        <c:ser>
          <c:idx val="2"/>
          <c:order val="2"/>
          <c:val>
            <c:numLit>
              <c:formatCode>General</c:formatCode>
              <c:ptCount val="1"/>
              <c:pt idx="0">
                <c:v>0</c:v>
              </c:pt>
            </c:numLit>
          </c:val>
        </c:ser>
        <c:ser>
          <c:idx val="3"/>
          <c:order val="3"/>
          <c:tx>
            <c:v>Wykształcenie wyższe</c:v>
          </c:tx>
          <c:val>
            <c:numRef>
              <c:f>Zbiorczy!$I$15:$J$15</c:f>
              <c:numCache>
                <c:formatCode>0%</c:formatCode>
                <c:ptCount val="2"/>
                <c:pt idx="0">
                  <c:v>0.33969465648854968</c:v>
                </c:pt>
                <c:pt idx="1">
                  <c:v>0.66030534351145065</c:v>
                </c:pt>
              </c:numCache>
            </c:numRef>
          </c:val>
        </c:ser>
        <c:ser>
          <c:idx val="4"/>
          <c:order val="4"/>
          <c:tx>
            <c:v>Wykształcenie średnie i policealne</c:v>
          </c:tx>
          <c:val>
            <c:numRef>
              <c:f>Zbiorczy!$L$15:$M$15</c:f>
              <c:numCache>
                <c:formatCode>0%</c:formatCode>
                <c:ptCount val="2"/>
                <c:pt idx="0">
                  <c:v>0.50080256821829849</c:v>
                </c:pt>
                <c:pt idx="1">
                  <c:v>0.49919743178170145</c:v>
                </c:pt>
              </c:numCache>
            </c:numRef>
          </c:val>
        </c:ser>
        <c:ser>
          <c:idx val="5"/>
          <c:order val="5"/>
          <c:tx>
            <c:v>Wykształcenie zasadnicze zawodowe i poniżej</c:v>
          </c:tx>
          <c:val>
            <c:numRef>
              <c:f>Zbiorczy!$O$15:$P$15</c:f>
              <c:numCache>
                <c:formatCode>0%</c:formatCode>
                <c:ptCount val="2"/>
                <c:pt idx="0">
                  <c:v>0.37724014336917588</c:v>
                </c:pt>
                <c:pt idx="1">
                  <c:v>0.62275985663084199</c:v>
                </c:pt>
              </c:numCache>
            </c:numRef>
          </c:val>
        </c:ser>
        <c:ser>
          <c:idx val="6"/>
          <c:order val="6"/>
          <c:val>
            <c:numLit>
              <c:formatCode>General</c:formatCode>
              <c:ptCount val="1"/>
              <c:pt idx="0">
                <c:v>0</c:v>
              </c:pt>
            </c:numLit>
          </c:val>
        </c:ser>
        <c:ser>
          <c:idx val="7"/>
          <c:order val="7"/>
          <c:tx>
            <c:v>Wiek: 18-29</c:v>
          </c:tx>
          <c:val>
            <c:numRef>
              <c:f>Zbiorczy!$R$15:$S$15</c:f>
              <c:numCache>
                <c:formatCode>0%</c:formatCode>
                <c:ptCount val="2"/>
                <c:pt idx="0">
                  <c:v>0.38066465256797588</c:v>
                </c:pt>
                <c:pt idx="1">
                  <c:v>0.61933534743202412</c:v>
                </c:pt>
              </c:numCache>
            </c:numRef>
          </c:val>
        </c:ser>
        <c:ser>
          <c:idx val="8"/>
          <c:order val="8"/>
          <c:tx>
            <c:v>Wiek: 30-39</c:v>
          </c:tx>
          <c:val>
            <c:numRef>
              <c:f>Zbiorczy!$U$15:$V$15</c:f>
              <c:numCache>
                <c:formatCode>0%</c:formatCode>
                <c:ptCount val="2"/>
                <c:pt idx="0">
                  <c:v>0.44628099173553731</c:v>
                </c:pt>
                <c:pt idx="1">
                  <c:v>0.55371900826446285</c:v>
                </c:pt>
              </c:numCache>
            </c:numRef>
          </c:val>
        </c:ser>
        <c:ser>
          <c:idx val="9"/>
          <c:order val="9"/>
          <c:tx>
            <c:v>Wiek: 40-59</c:v>
          </c:tx>
          <c:val>
            <c:numRef>
              <c:f>Zbiorczy!$X$15:$Y$15</c:f>
              <c:numCache>
                <c:formatCode>0%</c:formatCode>
                <c:ptCount val="2"/>
                <c:pt idx="0">
                  <c:v>0.40154015401540155</c:v>
                </c:pt>
                <c:pt idx="1">
                  <c:v>0.59845984598459845</c:v>
                </c:pt>
              </c:numCache>
            </c:numRef>
          </c:val>
        </c:ser>
        <c:ser>
          <c:idx val="10"/>
          <c:order val="10"/>
          <c:tx>
            <c:v>Wiek: 60 i powyżej</c:v>
          </c:tx>
          <c:val>
            <c:numRef>
              <c:f>Zbiorczy!$AA$15:$AB$15</c:f>
              <c:numCache>
                <c:formatCode>0%</c:formatCode>
                <c:ptCount val="2"/>
                <c:pt idx="0">
                  <c:v>0.42462311557789273</c:v>
                </c:pt>
                <c:pt idx="1">
                  <c:v>0.57537688442211055</c:v>
                </c:pt>
              </c:numCache>
            </c:numRef>
          </c:val>
        </c:ser>
        <c:gapWidth val="136"/>
        <c:overlap val="-15"/>
        <c:axId val="184964992"/>
        <c:axId val="184966528"/>
      </c:barChart>
      <c:catAx>
        <c:axId val="184964992"/>
        <c:scaling>
          <c:orientation val="minMax"/>
        </c:scaling>
        <c:axPos val="b"/>
        <c:majorGridlines/>
        <c:tickLblPos val="nextTo"/>
        <c:crossAx val="184966528"/>
        <c:crosses val="autoZero"/>
        <c:auto val="1"/>
        <c:lblAlgn val="ctr"/>
        <c:lblOffset val="100"/>
      </c:catAx>
      <c:valAx>
        <c:axId val="184966528"/>
        <c:scaling>
          <c:orientation val="minMax"/>
        </c:scaling>
        <c:axPos val="l"/>
        <c:numFmt formatCode="0%" sourceLinked="1"/>
        <c:tickLblPos val="nextTo"/>
        <c:txPr>
          <a:bodyPr/>
          <a:lstStyle/>
          <a:p>
            <a:pPr>
              <a:defRPr sz="800"/>
            </a:pPr>
            <a:endParaRPr lang="pl-PL"/>
          </a:p>
        </c:txPr>
        <c:crossAx val="184964992"/>
        <c:crosses val="autoZero"/>
        <c:crossBetween val="between"/>
      </c:valAx>
    </c:plotArea>
    <c:legend>
      <c:legendPos val="b"/>
      <c:legendEntry>
        <c:idx val="2"/>
        <c:delete val="1"/>
      </c:legendEntry>
      <c:legendEntry>
        <c:idx val="6"/>
        <c:delete val="1"/>
      </c:legendEntry>
      <c:layout>
        <c:manualLayout>
          <c:xMode val="edge"/>
          <c:yMode val="edge"/>
          <c:x val="6.5455186157285891E-2"/>
          <c:y val="0.74053586701870855"/>
          <c:w val="0.91318133844380933"/>
          <c:h val="0.23922369141029762"/>
        </c:manualLayout>
      </c:layout>
      <c:txPr>
        <a:bodyPr/>
        <a:lstStyle/>
        <a:p>
          <a:pPr>
            <a:defRPr sz="800"/>
          </a:pPr>
          <a:endParaRPr lang="pl-PL"/>
        </a:p>
      </c:txPr>
    </c:legend>
    <c:plotVisOnly val="1"/>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pPr>
                <a:endParaRPr lang="pl-PL"/>
              </a:p>
            </c:txPr>
            <c:dLblPos val="ctr"/>
            <c:showSerName val="1"/>
          </c:dLbls>
          <c:val>
            <c:numRef>
              <c:f>Zbiorczy!$E$15</c:f>
              <c:numCache>
                <c:formatCode>General</c:formatCode>
                <c:ptCount val="1"/>
                <c:pt idx="0">
                  <c:v>3.2936170212766012</c:v>
                </c:pt>
              </c:numCache>
            </c:numRef>
          </c:val>
        </c:ser>
        <c:ser>
          <c:idx val="1"/>
          <c:order val="1"/>
          <c:tx>
            <c:v>Kobiety</c:v>
          </c:tx>
          <c:dLbls>
            <c:txPr>
              <a:bodyPr rot="-5400000" vert="horz"/>
              <a:lstStyle/>
              <a:p>
                <a:pPr>
                  <a:defRPr/>
                </a:pPr>
                <a:endParaRPr lang="pl-PL"/>
              </a:p>
            </c:txPr>
            <c:dLblPos val="ctr"/>
            <c:showSerName val="1"/>
          </c:dLbls>
          <c:val>
            <c:numRef>
              <c:f>Zbiorczy!$H$15</c:f>
              <c:numCache>
                <c:formatCode>General</c:formatCode>
                <c:ptCount val="1"/>
                <c:pt idx="0">
                  <c:v>3.6404109589041096</c:v>
                </c:pt>
              </c:numCache>
            </c:numRef>
          </c:val>
        </c:ser>
        <c:ser>
          <c:idx val="2"/>
          <c:order val="2"/>
          <c:val>
            <c:numLit>
              <c:formatCode>General</c:formatCode>
              <c:ptCount val="1"/>
              <c:pt idx="0">
                <c:v>0</c:v>
              </c:pt>
            </c:numLit>
          </c:val>
        </c:ser>
        <c:ser>
          <c:idx val="3"/>
          <c:order val="3"/>
          <c:tx>
            <c:v>Wykształcenie wyższe</c:v>
          </c:tx>
          <c:val>
            <c:numRef>
              <c:f>Zbiorczy!$K$15</c:f>
              <c:numCache>
                <c:formatCode>General</c:formatCode>
                <c:ptCount val="1"/>
                <c:pt idx="0">
                  <c:v>3.3235294117647061</c:v>
                </c:pt>
              </c:numCache>
            </c:numRef>
          </c:val>
        </c:ser>
        <c:ser>
          <c:idx val="4"/>
          <c:order val="4"/>
          <c:tx>
            <c:v>Wykształcenie średnie i policealne</c:v>
          </c:tx>
          <c:val>
            <c:numRef>
              <c:f>Zbiorczy!$N$15</c:f>
              <c:numCache>
                <c:formatCode>General</c:formatCode>
                <c:ptCount val="1"/>
                <c:pt idx="0">
                  <c:v>3.4277456647398767</c:v>
                </c:pt>
              </c:numCache>
            </c:numRef>
          </c:val>
        </c:ser>
        <c:ser>
          <c:idx val="5"/>
          <c:order val="5"/>
          <c:tx>
            <c:v>Wykształcenie zasadnicze zawodowe i poniżej</c:v>
          </c:tx>
          <c:val>
            <c:numRef>
              <c:f>Zbiorczy!$Q$15</c:f>
              <c:numCache>
                <c:formatCode>General</c:formatCode>
                <c:ptCount val="1"/>
                <c:pt idx="0">
                  <c:v>3.5578947368421052</c:v>
                </c:pt>
              </c:numCache>
            </c:numRef>
          </c:val>
        </c:ser>
        <c:ser>
          <c:idx val="6"/>
          <c:order val="6"/>
          <c:val>
            <c:numLit>
              <c:formatCode>General</c:formatCode>
              <c:ptCount val="1"/>
              <c:pt idx="0">
                <c:v>0</c:v>
              </c:pt>
            </c:numLit>
          </c:val>
        </c:ser>
        <c:ser>
          <c:idx val="7"/>
          <c:order val="7"/>
          <c:tx>
            <c:v>Wiek: 18-29</c:v>
          </c:tx>
          <c:val>
            <c:numRef>
              <c:f>Zbiorczy!$T$15</c:f>
              <c:numCache>
                <c:formatCode>General</c:formatCode>
                <c:ptCount val="1"/>
                <c:pt idx="0">
                  <c:v>3.27</c:v>
                </c:pt>
              </c:numCache>
            </c:numRef>
          </c:val>
        </c:ser>
        <c:ser>
          <c:idx val="8"/>
          <c:order val="8"/>
          <c:tx>
            <c:v>Wiek: 30-39</c:v>
          </c:tx>
          <c:val>
            <c:numRef>
              <c:f>Zbiorczy!$W$15</c:f>
              <c:numCache>
                <c:formatCode>General</c:formatCode>
                <c:ptCount val="1"/>
                <c:pt idx="0">
                  <c:v>3.5416666666666665</c:v>
                </c:pt>
              </c:numCache>
            </c:numRef>
          </c:val>
        </c:ser>
        <c:ser>
          <c:idx val="9"/>
          <c:order val="9"/>
          <c:tx>
            <c:v>Wiek: 40-59</c:v>
          </c:tx>
          <c:val>
            <c:numRef>
              <c:f>Zbiorczy!$Z$15</c:f>
              <c:numCache>
                <c:formatCode>General</c:formatCode>
                <c:ptCount val="1"/>
                <c:pt idx="0">
                  <c:v>3.7981220657277248</c:v>
                </c:pt>
              </c:numCache>
            </c:numRef>
          </c:val>
        </c:ser>
        <c:ser>
          <c:idx val="10"/>
          <c:order val="10"/>
          <c:tx>
            <c:v>Wiek: 60 i powyżej</c:v>
          </c:tx>
          <c:val>
            <c:numRef>
              <c:f>Zbiorczy!$AC$15</c:f>
              <c:numCache>
                <c:formatCode>General</c:formatCode>
                <c:ptCount val="1"/>
                <c:pt idx="0">
                  <c:v>3.0603448275862082</c:v>
                </c:pt>
              </c:numCache>
            </c:numRef>
          </c:val>
        </c:ser>
        <c:axId val="185098624"/>
        <c:axId val="185100160"/>
      </c:barChart>
      <c:catAx>
        <c:axId val="185098624"/>
        <c:scaling>
          <c:orientation val="minMax"/>
        </c:scaling>
        <c:delete val="1"/>
        <c:axPos val="b"/>
        <c:tickLblPos val="none"/>
        <c:crossAx val="185100160"/>
        <c:crosses val="autoZero"/>
        <c:auto val="1"/>
        <c:lblAlgn val="ctr"/>
        <c:lblOffset val="100"/>
      </c:catAx>
      <c:valAx>
        <c:axId val="185100160"/>
        <c:scaling>
          <c:orientation val="minMax"/>
        </c:scaling>
        <c:axPos val="l"/>
        <c:numFmt formatCode="General" sourceLinked="1"/>
        <c:tickLblPos val="nextTo"/>
        <c:txPr>
          <a:bodyPr/>
          <a:lstStyle/>
          <a:p>
            <a:pPr>
              <a:defRPr sz="800"/>
            </a:pPr>
            <a:endParaRPr lang="pl-PL"/>
          </a:p>
        </c:txPr>
        <c:crossAx val="185098624"/>
        <c:crosses val="autoZero"/>
        <c:crossBetween val="between"/>
      </c:valAx>
    </c:plotArea>
    <c:legend>
      <c:legendPos val="b"/>
      <c:legendEntry>
        <c:idx val="2"/>
        <c:delete val="1"/>
      </c:legendEntry>
      <c:legendEntry>
        <c:idx val="6"/>
        <c:delete val="1"/>
      </c:legendEntry>
      <c:layout>
        <c:manualLayout>
          <c:xMode val="edge"/>
          <c:yMode val="edge"/>
          <c:x val="6.5455186157285891E-2"/>
          <c:y val="0.74053586701870855"/>
          <c:w val="0.91318133844380933"/>
          <c:h val="0.23922369141029762"/>
        </c:manualLayout>
      </c:layout>
      <c:txPr>
        <a:bodyPr/>
        <a:lstStyle/>
        <a:p>
          <a:pPr>
            <a:defRPr sz="800"/>
          </a:pPr>
          <a:endParaRPr lang="pl-PL"/>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3994327098002844E-2"/>
          <c:y val="3.745331682931665E-2"/>
          <c:w val="0.88175523198489514"/>
          <c:h val="0.62049862673119982"/>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Zbiorczy!$C$18:$D$18</c:f>
              <c:numCache>
                <c:formatCode>0%</c:formatCode>
                <c:ptCount val="2"/>
                <c:pt idx="0">
                  <c:v>0.15770609318996745</c:v>
                </c:pt>
                <c:pt idx="1">
                  <c:v>0.8422939068100358</c:v>
                </c:pt>
              </c:numCache>
            </c:numRef>
          </c:val>
        </c:ser>
        <c:ser>
          <c:idx val="1"/>
          <c:order val="1"/>
          <c:tx>
            <c:v>Kobiety</c:v>
          </c:tx>
          <c:dLbls>
            <c:txPr>
              <a:bodyPr rot="-5400000" vert="horz"/>
              <a:lstStyle/>
              <a:p>
                <a:pPr>
                  <a:defRPr sz="900"/>
                </a:pPr>
                <a:endParaRPr lang="pl-PL"/>
              </a:p>
            </c:txPr>
            <c:showSerName val="1"/>
          </c:dLbls>
          <c:val>
            <c:numRef>
              <c:f>Zbiorczy!$F$18:$G$18</c:f>
              <c:numCache>
                <c:formatCode>0%</c:formatCode>
                <c:ptCount val="2"/>
                <c:pt idx="0">
                  <c:v>0.22613065326633169</c:v>
                </c:pt>
                <c:pt idx="1">
                  <c:v>0.77386934673366869</c:v>
                </c:pt>
              </c:numCache>
            </c:numRef>
          </c:val>
        </c:ser>
        <c:ser>
          <c:idx val="2"/>
          <c:order val="2"/>
          <c:val>
            <c:numLit>
              <c:formatCode>General</c:formatCode>
              <c:ptCount val="1"/>
              <c:pt idx="0">
                <c:v>0</c:v>
              </c:pt>
            </c:numLit>
          </c:val>
        </c:ser>
        <c:ser>
          <c:idx val="3"/>
          <c:order val="3"/>
          <c:tx>
            <c:v>Wykształcenie wyższe</c:v>
          </c:tx>
          <c:val>
            <c:numRef>
              <c:f>Zbiorczy!$I$18:$J$18</c:f>
              <c:numCache>
                <c:formatCode>0%</c:formatCode>
                <c:ptCount val="2"/>
                <c:pt idx="0">
                  <c:v>0.30172413793103448</c:v>
                </c:pt>
                <c:pt idx="1">
                  <c:v>0.69827586206896564</c:v>
                </c:pt>
              </c:numCache>
            </c:numRef>
          </c:val>
        </c:ser>
        <c:ser>
          <c:idx val="4"/>
          <c:order val="4"/>
          <c:tx>
            <c:v>Wykształcenie średnie i policealne</c:v>
          </c:tx>
          <c:val>
            <c:numRef>
              <c:f>Zbiorczy!$L$18:$M$18</c:f>
              <c:numCache>
                <c:formatCode>0%</c:formatCode>
                <c:ptCount val="2"/>
                <c:pt idx="0">
                  <c:v>0.23469387755102197</c:v>
                </c:pt>
                <c:pt idx="1">
                  <c:v>0.76530612244898544</c:v>
                </c:pt>
              </c:numCache>
            </c:numRef>
          </c:val>
        </c:ser>
        <c:ser>
          <c:idx val="5"/>
          <c:order val="5"/>
          <c:tx>
            <c:v>Wykształcenie zasadnicze zawodowe i poniżej</c:v>
          </c:tx>
          <c:val>
            <c:numRef>
              <c:f>Zbiorczy!$O$18:$P$18</c:f>
              <c:numCache>
                <c:formatCode>0%</c:formatCode>
                <c:ptCount val="2"/>
                <c:pt idx="0">
                  <c:v>0.14002205071664828</c:v>
                </c:pt>
                <c:pt idx="1">
                  <c:v>0.85997794928335169</c:v>
                </c:pt>
              </c:numCache>
            </c:numRef>
          </c:val>
        </c:ser>
        <c:ser>
          <c:idx val="6"/>
          <c:order val="6"/>
          <c:val>
            <c:numLit>
              <c:formatCode>General</c:formatCode>
              <c:ptCount val="1"/>
              <c:pt idx="0">
                <c:v>0</c:v>
              </c:pt>
            </c:numLit>
          </c:val>
        </c:ser>
        <c:ser>
          <c:idx val="7"/>
          <c:order val="7"/>
          <c:tx>
            <c:v>Wiek: 18-29</c:v>
          </c:tx>
          <c:val>
            <c:numRef>
              <c:f>Zbiorczy!$R$18:$S$18</c:f>
              <c:numCache>
                <c:formatCode>0%</c:formatCode>
                <c:ptCount val="2"/>
                <c:pt idx="0">
                  <c:v>0.16842105263157892</c:v>
                </c:pt>
                <c:pt idx="1">
                  <c:v>0.83157894736842164</c:v>
                </c:pt>
              </c:numCache>
            </c:numRef>
          </c:val>
        </c:ser>
        <c:ser>
          <c:idx val="8"/>
          <c:order val="8"/>
          <c:tx>
            <c:v>Wiek: 30-39</c:v>
          </c:tx>
          <c:val>
            <c:numRef>
              <c:f>Zbiorczy!$U$18:$V$18</c:f>
              <c:numCache>
                <c:formatCode>0%</c:formatCode>
                <c:ptCount val="2"/>
                <c:pt idx="0">
                  <c:v>0.17027863777089791</c:v>
                </c:pt>
                <c:pt idx="1">
                  <c:v>0.82972136222911275</c:v>
                </c:pt>
              </c:numCache>
            </c:numRef>
          </c:val>
        </c:ser>
        <c:ser>
          <c:idx val="9"/>
          <c:order val="9"/>
          <c:tx>
            <c:v>Wiek: 40-59</c:v>
          </c:tx>
          <c:val>
            <c:numRef>
              <c:f>Zbiorczy!$X$18:$Y$18</c:f>
              <c:numCache>
                <c:formatCode>0%</c:formatCode>
                <c:ptCount val="2"/>
                <c:pt idx="0">
                  <c:v>0.21192052980132606</c:v>
                </c:pt>
                <c:pt idx="1">
                  <c:v>0.78807947019868496</c:v>
                </c:pt>
              </c:numCache>
            </c:numRef>
          </c:val>
        </c:ser>
        <c:ser>
          <c:idx val="10"/>
          <c:order val="10"/>
          <c:tx>
            <c:v>Wiek: 60 i powyżej</c:v>
          </c:tx>
          <c:val>
            <c:numRef>
              <c:f>Zbiorczy!$AA$18:$AB$18</c:f>
              <c:numCache>
                <c:formatCode>0%</c:formatCode>
                <c:ptCount val="2"/>
                <c:pt idx="0">
                  <c:v>0.20700636942675171</c:v>
                </c:pt>
                <c:pt idx="1">
                  <c:v>0.79299363057325511</c:v>
                </c:pt>
              </c:numCache>
            </c:numRef>
          </c:val>
        </c:ser>
        <c:gapWidth val="136"/>
        <c:overlap val="-15"/>
        <c:axId val="186284672"/>
        <c:axId val="186286464"/>
      </c:barChart>
      <c:catAx>
        <c:axId val="186284672"/>
        <c:scaling>
          <c:orientation val="minMax"/>
        </c:scaling>
        <c:axPos val="b"/>
        <c:majorGridlines/>
        <c:tickLblPos val="nextTo"/>
        <c:crossAx val="186286464"/>
        <c:crosses val="autoZero"/>
        <c:auto val="1"/>
        <c:lblAlgn val="ctr"/>
        <c:lblOffset val="100"/>
      </c:catAx>
      <c:valAx>
        <c:axId val="186286464"/>
        <c:scaling>
          <c:orientation val="minMax"/>
        </c:scaling>
        <c:axPos val="l"/>
        <c:numFmt formatCode="0%" sourceLinked="1"/>
        <c:tickLblPos val="nextTo"/>
        <c:txPr>
          <a:bodyPr/>
          <a:lstStyle/>
          <a:p>
            <a:pPr>
              <a:defRPr sz="800"/>
            </a:pPr>
            <a:endParaRPr lang="pl-PL"/>
          </a:p>
        </c:txPr>
        <c:crossAx val="186284672"/>
        <c:crosses val="autoZero"/>
        <c:crossBetween val="between"/>
      </c:valAx>
    </c:plotArea>
    <c:legend>
      <c:legendPos val="b"/>
      <c:legendEntry>
        <c:idx val="2"/>
        <c:delete val="1"/>
      </c:legendEntry>
      <c:legendEntry>
        <c:idx val="6"/>
        <c:delete val="1"/>
      </c:legendEntry>
      <c:layout>
        <c:manualLayout>
          <c:xMode val="edge"/>
          <c:yMode val="edge"/>
          <c:x val="6.5455186157285891E-2"/>
          <c:y val="0.74053586701870855"/>
          <c:w val="0.90877216736796329"/>
          <c:h val="0.23922369141029762"/>
        </c:manualLayout>
      </c:layout>
      <c:txPr>
        <a:bodyPr/>
        <a:lstStyle/>
        <a:p>
          <a:pPr>
            <a:defRPr sz="800"/>
          </a:pPr>
          <a:endParaRPr lang="pl-PL"/>
        </a:p>
      </c:txPr>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pPr>
                <a:endParaRPr lang="pl-PL"/>
              </a:p>
            </c:txPr>
            <c:dLblPos val="ctr"/>
            <c:showSerName val="1"/>
          </c:dLbls>
          <c:val>
            <c:numRef>
              <c:f>Zbiorczy!$E$18</c:f>
              <c:numCache>
                <c:formatCode>General</c:formatCode>
                <c:ptCount val="1"/>
                <c:pt idx="0">
                  <c:v>3.2170212765957729</c:v>
                </c:pt>
              </c:numCache>
            </c:numRef>
          </c:val>
        </c:ser>
        <c:ser>
          <c:idx val="1"/>
          <c:order val="1"/>
          <c:tx>
            <c:v>Kobiety</c:v>
          </c:tx>
          <c:dLbls>
            <c:txPr>
              <a:bodyPr rot="-5400000" vert="horz"/>
              <a:lstStyle/>
              <a:p>
                <a:pPr>
                  <a:defRPr/>
                </a:pPr>
                <a:endParaRPr lang="pl-PL"/>
              </a:p>
            </c:txPr>
            <c:dLblPos val="ctr"/>
            <c:showSerName val="1"/>
          </c:dLbls>
          <c:val>
            <c:numRef>
              <c:f>Zbiorczy!$H$18</c:f>
              <c:numCache>
                <c:formatCode>General</c:formatCode>
                <c:ptCount val="1"/>
                <c:pt idx="0">
                  <c:v>2.6130136986301382</c:v>
                </c:pt>
              </c:numCache>
            </c:numRef>
          </c:val>
        </c:ser>
        <c:ser>
          <c:idx val="2"/>
          <c:order val="2"/>
          <c:val>
            <c:numLit>
              <c:formatCode>General</c:formatCode>
              <c:ptCount val="1"/>
              <c:pt idx="0">
                <c:v>0</c:v>
              </c:pt>
            </c:numLit>
          </c:val>
        </c:ser>
        <c:ser>
          <c:idx val="3"/>
          <c:order val="3"/>
          <c:tx>
            <c:v>Wykształcenie wyższe</c:v>
          </c:tx>
          <c:val>
            <c:numRef>
              <c:f>Zbiorczy!$K$18</c:f>
              <c:numCache>
                <c:formatCode>General</c:formatCode>
                <c:ptCount val="1"/>
                <c:pt idx="0">
                  <c:v>3.1492537313432827</c:v>
                </c:pt>
              </c:numCache>
            </c:numRef>
          </c:val>
        </c:ser>
        <c:ser>
          <c:idx val="4"/>
          <c:order val="4"/>
          <c:tx>
            <c:v>Wykształcenie średnie i policealne</c:v>
          </c:tx>
          <c:val>
            <c:numRef>
              <c:f>Zbiorczy!$N$18</c:f>
              <c:numCache>
                <c:formatCode>General</c:formatCode>
                <c:ptCount val="1"/>
                <c:pt idx="0">
                  <c:v>2.7873563218390811</c:v>
                </c:pt>
              </c:numCache>
            </c:numRef>
          </c:val>
        </c:ser>
        <c:ser>
          <c:idx val="5"/>
          <c:order val="5"/>
          <c:tx>
            <c:v>Wykształcenie zasadnicze zawodowe i poniżej</c:v>
          </c:tx>
          <c:val>
            <c:numRef>
              <c:f>Zbiorczy!$Q$18</c:f>
              <c:numCache>
                <c:formatCode>General</c:formatCode>
                <c:ptCount val="1"/>
                <c:pt idx="0">
                  <c:v>2.8736842105263212</c:v>
                </c:pt>
              </c:numCache>
            </c:numRef>
          </c:val>
        </c:ser>
        <c:ser>
          <c:idx val="6"/>
          <c:order val="6"/>
          <c:val>
            <c:numLit>
              <c:formatCode>General</c:formatCode>
              <c:ptCount val="1"/>
              <c:pt idx="0">
                <c:v>0</c:v>
              </c:pt>
            </c:numLit>
          </c:val>
        </c:ser>
        <c:ser>
          <c:idx val="7"/>
          <c:order val="7"/>
          <c:tx>
            <c:v>Wiek: 18-29</c:v>
          </c:tx>
          <c:val>
            <c:numRef>
              <c:f>Zbiorczy!$T$18</c:f>
              <c:numCache>
                <c:formatCode>General</c:formatCode>
                <c:ptCount val="1"/>
                <c:pt idx="0">
                  <c:v>3.4</c:v>
                </c:pt>
              </c:numCache>
            </c:numRef>
          </c:val>
        </c:ser>
        <c:ser>
          <c:idx val="8"/>
          <c:order val="8"/>
          <c:tx>
            <c:v>Wiek: 30-39</c:v>
          </c:tx>
          <c:val>
            <c:numRef>
              <c:f>Zbiorczy!$W$18</c:f>
              <c:numCache>
                <c:formatCode>General</c:formatCode>
                <c:ptCount val="1"/>
                <c:pt idx="0">
                  <c:v>2.8210526315789171</c:v>
                </c:pt>
              </c:numCache>
            </c:numRef>
          </c:val>
        </c:ser>
        <c:ser>
          <c:idx val="9"/>
          <c:order val="9"/>
          <c:tx>
            <c:v>Wiek: 40-59</c:v>
          </c:tx>
          <c:val>
            <c:numRef>
              <c:f>Zbiorczy!$Z$18</c:f>
              <c:numCache>
                <c:formatCode>General</c:formatCode>
                <c:ptCount val="1"/>
                <c:pt idx="0">
                  <c:v>2.7616822429906853</c:v>
                </c:pt>
              </c:numCache>
            </c:numRef>
          </c:val>
        </c:ser>
        <c:ser>
          <c:idx val="10"/>
          <c:order val="10"/>
          <c:tx>
            <c:v>Wiek: 60 i powyżej</c:v>
          </c:tx>
          <c:val>
            <c:numRef>
              <c:f>Zbiorczy!$AC$18</c:f>
              <c:numCache>
                <c:formatCode>General</c:formatCode>
                <c:ptCount val="1"/>
                <c:pt idx="0">
                  <c:v>2.6896551724137927</c:v>
                </c:pt>
              </c:numCache>
            </c:numRef>
          </c:val>
        </c:ser>
        <c:axId val="186348672"/>
        <c:axId val="186350208"/>
      </c:barChart>
      <c:catAx>
        <c:axId val="186348672"/>
        <c:scaling>
          <c:orientation val="minMax"/>
        </c:scaling>
        <c:delete val="1"/>
        <c:axPos val="b"/>
        <c:tickLblPos val="none"/>
        <c:crossAx val="186350208"/>
        <c:crosses val="autoZero"/>
        <c:auto val="1"/>
        <c:lblAlgn val="ctr"/>
        <c:lblOffset val="100"/>
      </c:catAx>
      <c:valAx>
        <c:axId val="186350208"/>
        <c:scaling>
          <c:orientation val="minMax"/>
          <c:max val="3.5"/>
        </c:scaling>
        <c:axPos val="l"/>
        <c:numFmt formatCode="General" sourceLinked="1"/>
        <c:tickLblPos val="nextTo"/>
        <c:txPr>
          <a:bodyPr/>
          <a:lstStyle/>
          <a:p>
            <a:pPr>
              <a:defRPr sz="800"/>
            </a:pPr>
            <a:endParaRPr lang="pl-PL"/>
          </a:p>
        </c:txPr>
        <c:crossAx val="186348672"/>
        <c:crosses val="autoZero"/>
        <c:crossBetween val="between"/>
      </c:valAx>
    </c:plotArea>
    <c:legend>
      <c:legendPos val="b"/>
      <c:legendEntry>
        <c:idx val="2"/>
        <c:delete val="1"/>
      </c:legendEntry>
      <c:legendEntry>
        <c:idx val="6"/>
        <c:delete val="1"/>
      </c:legendEntry>
      <c:layout>
        <c:manualLayout>
          <c:xMode val="edge"/>
          <c:yMode val="edge"/>
          <c:x val="6.5455186157285891E-2"/>
          <c:y val="0.72366883237621094"/>
          <c:w val="0.91979509505756263"/>
          <c:h val="0.25609072605279515"/>
        </c:manualLayout>
      </c:layout>
      <c:txPr>
        <a:bodyPr/>
        <a:lstStyle/>
        <a:p>
          <a:pPr>
            <a:defRPr sz="800"/>
          </a:pPr>
          <a:endParaRPr lang="pl-PL"/>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3994327098002844E-2"/>
          <c:y val="3.745331682931665E-2"/>
          <c:w val="0.88175523198489514"/>
          <c:h val="0.63736566137369721"/>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Zbiorczy!$C$23:$D$23</c:f>
              <c:numCache>
                <c:formatCode>0%</c:formatCode>
                <c:ptCount val="2"/>
                <c:pt idx="0">
                  <c:v>0.10953058321479374</c:v>
                </c:pt>
                <c:pt idx="1">
                  <c:v>0.8904694167852063</c:v>
                </c:pt>
              </c:numCache>
            </c:numRef>
          </c:val>
        </c:ser>
        <c:ser>
          <c:idx val="1"/>
          <c:order val="1"/>
          <c:tx>
            <c:v>Kobiety</c:v>
          </c:tx>
          <c:dLbls>
            <c:txPr>
              <a:bodyPr rot="-5400000" vert="horz"/>
              <a:lstStyle/>
              <a:p>
                <a:pPr>
                  <a:defRPr sz="900"/>
                </a:pPr>
                <a:endParaRPr lang="pl-PL"/>
              </a:p>
            </c:txPr>
            <c:showSerName val="1"/>
          </c:dLbls>
          <c:val>
            <c:numRef>
              <c:f>Zbiorczy!$F$23:$G$23</c:f>
              <c:numCache>
                <c:formatCode>0%</c:formatCode>
                <c:ptCount val="2"/>
                <c:pt idx="0">
                  <c:v>0.17698019801980241</c:v>
                </c:pt>
                <c:pt idx="1">
                  <c:v>0.82301980198019864</c:v>
                </c:pt>
              </c:numCache>
            </c:numRef>
          </c:val>
        </c:ser>
        <c:ser>
          <c:idx val="2"/>
          <c:order val="2"/>
          <c:val>
            <c:numLit>
              <c:formatCode>General</c:formatCode>
              <c:ptCount val="1"/>
              <c:pt idx="0">
                <c:v>0</c:v>
              </c:pt>
            </c:numLit>
          </c:val>
        </c:ser>
        <c:ser>
          <c:idx val="3"/>
          <c:order val="3"/>
          <c:tx>
            <c:v>Wykształcenie wyższe</c:v>
          </c:tx>
          <c:val>
            <c:numRef>
              <c:f>Zbiorczy!$I$23:$J$23</c:f>
              <c:numCache>
                <c:formatCode>0%</c:formatCode>
                <c:ptCount val="2"/>
                <c:pt idx="0">
                  <c:v>0.18518518518518695</c:v>
                </c:pt>
                <c:pt idx="1">
                  <c:v>0.81481481481481965</c:v>
                </c:pt>
              </c:numCache>
            </c:numRef>
          </c:val>
        </c:ser>
        <c:ser>
          <c:idx val="4"/>
          <c:order val="4"/>
          <c:tx>
            <c:v>Wykształcenie średnie i policealne</c:v>
          </c:tx>
          <c:val>
            <c:numRef>
              <c:f>Zbiorczy!$L$23:$M$23</c:f>
              <c:numCache>
                <c:formatCode>0%</c:formatCode>
                <c:ptCount val="2"/>
                <c:pt idx="0">
                  <c:v>0.18579234972677863</c:v>
                </c:pt>
                <c:pt idx="1">
                  <c:v>0.81420765027322461</c:v>
                </c:pt>
              </c:numCache>
            </c:numRef>
          </c:val>
        </c:ser>
        <c:ser>
          <c:idx val="5"/>
          <c:order val="5"/>
          <c:tx>
            <c:v>Wykształcenie zasadnicze zawodowe i poniżej</c:v>
          </c:tx>
          <c:val>
            <c:numRef>
              <c:f>Zbiorczy!$O$23:$P$23</c:f>
              <c:numCache>
                <c:formatCode>0%</c:formatCode>
                <c:ptCount val="2"/>
                <c:pt idx="0">
                  <c:v>0.10512129380054012</c:v>
                </c:pt>
                <c:pt idx="1">
                  <c:v>0.89487870619946164</c:v>
                </c:pt>
              </c:numCache>
            </c:numRef>
          </c:val>
        </c:ser>
        <c:ser>
          <c:idx val="6"/>
          <c:order val="6"/>
          <c:val>
            <c:numLit>
              <c:formatCode>General</c:formatCode>
              <c:ptCount val="1"/>
              <c:pt idx="0">
                <c:v>0</c:v>
              </c:pt>
            </c:numLit>
          </c:val>
        </c:ser>
        <c:ser>
          <c:idx val="7"/>
          <c:order val="7"/>
          <c:tx>
            <c:v>Wiek: 18-29</c:v>
          </c:tx>
          <c:val>
            <c:numRef>
              <c:f>Zbiorczy!$R$23:$S$23</c:f>
              <c:numCache>
                <c:formatCode>0%</c:formatCode>
                <c:ptCount val="2"/>
                <c:pt idx="0">
                  <c:v>8.3832335329341548E-2</c:v>
                </c:pt>
                <c:pt idx="1">
                  <c:v>0.91616766467065858</c:v>
                </c:pt>
              </c:numCache>
            </c:numRef>
          </c:val>
        </c:ser>
        <c:ser>
          <c:idx val="8"/>
          <c:order val="8"/>
          <c:tx>
            <c:v>Wiek: 30-39</c:v>
          </c:tx>
          <c:val>
            <c:numRef>
              <c:f>Zbiorczy!$U$23:$V$23</c:f>
              <c:numCache>
                <c:formatCode>0%</c:formatCode>
                <c:ptCount val="2"/>
                <c:pt idx="0">
                  <c:v>0.15107913669064749</c:v>
                </c:pt>
                <c:pt idx="1">
                  <c:v>0.84892086330935923</c:v>
                </c:pt>
              </c:numCache>
            </c:numRef>
          </c:val>
        </c:ser>
        <c:ser>
          <c:idx val="9"/>
          <c:order val="9"/>
          <c:tx>
            <c:v>Wiek: 40-59</c:v>
          </c:tx>
          <c:val>
            <c:numRef>
              <c:f>Zbiorczy!$X$23:$Y$23</c:f>
              <c:numCache>
                <c:formatCode>0%</c:formatCode>
                <c:ptCount val="2"/>
                <c:pt idx="0">
                  <c:v>0.19672131147540994</c:v>
                </c:pt>
                <c:pt idx="1">
                  <c:v>0.80327868852459794</c:v>
                </c:pt>
              </c:numCache>
            </c:numRef>
          </c:val>
        </c:ser>
        <c:ser>
          <c:idx val="10"/>
          <c:order val="10"/>
          <c:tx>
            <c:v>Wiek: 60 i powyżej</c:v>
          </c:tx>
          <c:val>
            <c:numRef>
              <c:f>Zbiorczy!$AA$23:$AB$23</c:f>
              <c:numCache>
                <c:formatCode>0%</c:formatCode>
                <c:ptCount val="2"/>
                <c:pt idx="0">
                  <c:v>0.10600706713780918</c:v>
                </c:pt>
                <c:pt idx="1">
                  <c:v>0.89399293286219084</c:v>
                </c:pt>
              </c:numCache>
            </c:numRef>
          </c:val>
        </c:ser>
        <c:gapWidth val="136"/>
        <c:overlap val="-15"/>
        <c:axId val="186420608"/>
        <c:axId val="186430592"/>
      </c:barChart>
      <c:catAx>
        <c:axId val="186420608"/>
        <c:scaling>
          <c:orientation val="minMax"/>
        </c:scaling>
        <c:axPos val="b"/>
        <c:majorGridlines/>
        <c:tickLblPos val="nextTo"/>
        <c:crossAx val="186430592"/>
        <c:crosses val="autoZero"/>
        <c:auto val="1"/>
        <c:lblAlgn val="ctr"/>
        <c:lblOffset val="100"/>
      </c:catAx>
      <c:valAx>
        <c:axId val="186430592"/>
        <c:scaling>
          <c:orientation val="minMax"/>
        </c:scaling>
        <c:axPos val="l"/>
        <c:numFmt formatCode="0%" sourceLinked="1"/>
        <c:tickLblPos val="nextTo"/>
        <c:txPr>
          <a:bodyPr/>
          <a:lstStyle/>
          <a:p>
            <a:pPr>
              <a:defRPr sz="800"/>
            </a:pPr>
            <a:endParaRPr lang="pl-PL"/>
          </a:p>
        </c:txPr>
        <c:crossAx val="186420608"/>
        <c:crosses val="autoZero"/>
        <c:crossBetween val="between"/>
      </c:valAx>
    </c:plotArea>
    <c:legend>
      <c:legendPos val="b"/>
      <c:legendEntry>
        <c:idx val="2"/>
        <c:delete val="1"/>
      </c:legendEntry>
      <c:legendEntry>
        <c:idx val="6"/>
        <c:delete val="1"/>
      </c:legendEntry>
      <c:layout>
        <c:manualLayout>
          <c:xMode val="edge"/>
          <c:yMode val="edge"/>
          <c:x val="6.5455186157285891E-2"/>
          <c:y val="0.75065608780420423"/>
          <c:w val="0.91759050951964338"/>
          <c:h val="0.22910347062479747"/>
        </c:manualLayout>
      </c:layout>
      <c:txPr>
        <a:bodyPr/>
        <a:lstStyle/>
        <a:p>
          <a:pPr>
            <a:defRPr sz="800"/>
          </a:pPr>
          <a:endParaRPr lang="pl-PL"/>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manualLayout>
          <c:layoutTarget val="inner"/>
          <c:xMode val="edge"/>
          <c:yMode val="edge"/>
          <c:x val="9.9618087730620322E-2"/>
          <c:y val="4.6757624806376304E-2"/>
          <c:w val="0.87110078388326451"/>
          <c:h val="0.60617260893489255"/>
        </c:manualLayout>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Zbiorczy!$C$3:$D$3</c:f>
              <c:numCache>
                <c:formatCode>0%</c:formatCode>
                <c:ptCount val="2"/>
                <c:pt idx="0">
                  <c:v>0.85213581599123767</c:v>
                </c:pt>
                <c:pt idx="1">
                  <c:v>0.14786418400876244</c:v>
                </c:pt>
              </c:numCache>
            </c:numRef>
          </c:val>
        </c:ser>
        <c:ser>
          <c:idx val="1"/>
          <c:order val="1"/>
          <c:tx>
            <c:v>Kobiety</c:v>
          </c:tx>
          <c:dLbls>
            <c:txPr>
              <a:bodyPr rot="-5400000" vert="horz"/>
              <a:lstStyle/>
              <a:p>
                <a:pPr>
                  <a:defRPr sz="900"/>
                </a:pPr>
                <a:endParaRPr lang="pl-PL"/>
              </a:p>
            </c:txPr>
            <c:showSerName val="1"/>
          </c:dLbls>
          <c:val>
            <c:numRef>
              <c:f>Zbiorczy!$F$3:$G$3</c:f>
              <c:numCache>
                <c:formatCode>0%</c:formatCode>
                <c:ptCount val="2"/>
                <c:pt idx="0">
                  <c:v>0.92229199372056514</c:v>
                </c:pt>
                <c:pt idx="1">
                  <c:v>7.7708006279434874E-2</c:v>
                </c:pt>
              </c:numCache>
            </c:numRef>
          </c:val>
        </c:ser>
        <c:ser>
          <c:idx val="9"/>
          <c:order val="2"/>
          <c:val>
            <c:numLit>
              <c:formatCode>General</c:formatCode>
              <c:ptCount val="1"/>
              <c:pt idx="0">
                <c:v>0</c:v>
              </c:pt>
            </c:numLit>
          </c:val>
        </c:ser>
        <c:ser>
          <c:idx val="2"/>
          <c:order val="3"/>
          <c:tx>
            <c:v>Wykształcenie wyższe</c:v>
          </c:tx>
          <c:val>
            <c:numRef>
              <c:f>Zbiorczy!$I$3:$J$3</c:f>
              <c:numCache>
                <c:formatCode>0%</c:formatCode>
                <c:ptCount val="2"/>
                <c:pt idx="0">
                  <c:v>0.84879725085911573</c:v>
                </c:pt>
                <c:pt idx="1">
                  <c:v>0.15120274914089588</c:v>
                </c:pt>
              </c:numCache>
            </c:numRef>
          </c:val>
        </c:ser>
        <c:ser>
          <c:idx val="3"/>
          <c:order val="4"/>
          <c:tx>
            <c:v>Wykształcenie średnie i policealne</c:v>
          </c:tx>
          <c:val>
            <c:numRef>
              <c:f>Zbiorczy!$L$3:$M$3</c:f>
              <c:numCache>
                <c:formatCode>0%</c:formatCode>
                <c:ptCount val="2"/>
                <c:pt idx="0">
                  <c:v>0.87773487773489134</c:v>
                </c:pt>
                <c:pt idx="1">
                  <c:v>0.12226512226512425</c:v>
                </c:pt>
              </c:numCache>
            </c:numRef>
          </c:val>
        </c:ser>
        <c:ser>
          <c:idx val="4"/>
          <c:order val="5"/>
          <c:tx>
            <c:v>Wykształcenie zasadnicze zawodowe i poniżej</c:v>
          </c:tx>
          <c:val>
            <c:numRef>
              <c:f>Zbiorczy!$O$3:$P$3</c:f>
              <c:numCache>
                <c:formatCode>0%</c:formatCode>
                <c:ptCount val="2"/>
                <c:pt idx="0">
                  <c:v>0.91449144914491454</c:v>
                </c:pt>
                <c:pt idx="1">
                  <c:v>8.5508550855085505E-2</c:v>
                </c:pt>
              </c:numCache>
            </c:numRef>
          </c:val>
        </c:ser>
        <c:ser>
          <c:idx val="10"/>
          <c:order val="6"/>
          <c:val>
            <c:numLit>
              <c:formatCode>General</c:formatCode>
              <c:ptCount val="1"/>
              <c:pt idx="0">
                <c:v>0</c:v>
              </c:pt>
            </c:numLit>
          </c:val>
        </c:ser>
        <c:ser>
          <c:idx val="5"/>
          <c:order val="7"/>
          <c:tx>
            <c:v>Wiek: 18-29</c:v>
          </c:tx>
          <c:val>
            <c:numRef>
              <c:f>Zbiorczy!$R$3:$S$3</c:f>
              <c:numCache>
                <c:formatCode>0%</c:formatCode>
                <c:ptCount val="2"/>
                <c:pt idx="0">
                  <c:v>0.92613636363635676</c:v>
                </c:pt>
                <c:pt idx="1">
                  <c:v>7.3863636363637367E-2</c:v>
                </c:pt>
              </c:numCache>
            </c:numRef>
          </c:val>
        </c:ser>
        <c:ser>
          <c:idx val="6"/>
          <c:order val="8"/>
          <c:tx>
            <c:v>Wiek: 30-39</c:v>
          </c:tx>
          <c:val>
            <c:numRef>
              <c:f>Zbiorczy!$U$3:$V$3</c:f>
              <c:numCache>
                <c:formatCode>0%</c:formatCode>
                <c:ptCount val="2"/>
                <c:pt idx="0">
                  <c:v>0.9140186915887919</c:v>
                </c:pt>
                <c:pt idx="1">
                  <c:v>8.5981308411214957E-2</c:v>
                </c:pt>
              </c:numCache>
            </c:numRef>
          </c:val>
        </c:ser>
        <c:ser>
          <c:idx val="7"/>
          <c:order val="9"/>
          <c:tx>
            <c:v>Wiek: 40-59</c:v>
          </c:tx>
          <c:val>
            <c:numRef>
              <c:f>Zbiorczy!$X$3:$Y$3</c:f>
              <c:numCache>
                <c:formatCode>0%</c:formatCode>
                <c:ptCount val="2"/>
                <c:pt idx="0">
                  <c:v>0.87004405286344866</c:v>
                </c:pt>
                <c:pt idx="1">
                  <c:v>0.12995594713656394</c:v>
                </c:pt>
              </c:numCache>
            </c:numRef>
          </c:val>
        </c:ser>
        <c:ser>
          <c:idx val="8"/>
          <c:order val="10"/>
          <c:tx>
            <c:v>Wiek: 60 i powyżej</c:v>
          </c:tx>
          <c:val>
            <c:numRef>
              <c:f>Zbiorczy!$AA$3:$AB$3</c:f>
              <c:numCache>
                <c:formatCode>0%</c:formatCode>
                <c:ptCount val="2"/>
                <c:pt idx="0">
                  <c:v>0.84729064039409796</c:v>
                </c:pt>
                <c:pt idx="1">
                  <c:v>0.15270935960591303</c:v>
                </c:pt>
              </c:numCache>
            </c:numRef>
          </c:val>
        </c:ser>
        <c:gapWidth val="136"/>
        <c:overlap val="-15"/>
        <c:axId val="172988672"/>
        <c:axId val="173002752"/>
      </c:barChart>
      <c:catAx>
        <c:axId val="172988672"/>
        <c:scaling>
          <c:orientation val="minMax"/>
        </c:scaling>
        <c:axPos val="b"/>
        <c:majorGridlines/>
        <c:tickLblPos val="nextTo"/>
        <c:crossAx val="173002752"/>
        <c:crosses val="autoZero"/>
        <c:auto val="1"/>
        <c:lblAlgn val="ctr"/>
        <c:lblOffset val="100"/>
      </c:catAx>
      <c:valAx>
        <c:axId val="173002752"/>
        <c:scaling>
          <c:orientation val="minMax"/>
        </c:scaling>
        <c:axPos val="l"/>
        <c:numFmt formatCode="0%" sourceLinked="1"/>
        <c:tickLblPos val="nextTo"/>
        <c:txPr>
          <a:bodyPr/>
          <a:lstStyle/>
          <a:p>
            <a:pPr>
              <a:defRPr sz="800"/>
            </a:pPr>
            <a:endParaRPr lang="pl-PL"/>
          </a:p>
        </c:txPr>
        <c:crossAx val="172988672"/>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layout>
        <c:manualLayout>
          <c:xMode val="edge"/>
          <c:yMode val="edge"/>
          <c:x val="5.4847799447792424E-2"/>
          <c:y val="0.75313847367490805"/>
          <c:w val="0.91710687047944961"/>
          <c:h val="0.22481024175095304"/>
        </c:manualLayout>
      </c:layout>
      <c:txPr>
        <a:bodyPr/>
        <a:lstStyle/>
        <a:p>
          <a:pPr>
            <a:defRPr sz="800"/>
          </a:pPr>
          <a:endParaRPr lang="pl-PL"/>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pPr>
                <a:endParaRPr lang="pl-PL"/>
              </a:p>
            </c:txPr>
            <c:dLblPos val="ctr"/>
            <c:showSerName val="1"/>
          </c:dLbls>
          <c:val>
            <c:numRef>
              <c:f>Zbiorczy!$E$23</c:f>
              <c:numCache>
                <c:formatCode>General</c:formatCode>
                <c:ptCount val="1"/>
                <c:pt idx="0">
                  <c:v>3.0343347639485012</c:v>
                </c:pt>
              </c:numCache>
            </c:numRef>
          </c:val>
        </c:ser>
        <c:ser>
          <c:idx val="1"/>
          <c:order val="1"/>
          <c:tx>
            <c:v>Kobiety</c:v>
          </c:tx>
          <c:dLbls>
            <c:txPr>
              <a:bodyPr rot="-5400000" vert="horz"/>
              <a:lstStyle/>
              <a:p>
                <a:pPr>
                  <a:defRPr/>
                </a:pPr>
                <a:endParaRPr lang="pl-PL"/>
              </a:p>
            </c:txPr>
            <c:dLblPos val="ctr"/>
            <c:showSerName val="1"/>
          </c:dLbls>
          <c:val>
            <c:numRef>
              <c:f>Zbiorczy!$H$23</c:f>
              <c:numCache>
                <c:formatCode>General</c:formatCode>
                <c:ptCount val="1"/>
                <c:pt idx="0">
                  <c:v>2.8041958041958037</c:v>
                </c:pt>
              </c:numCache>
            </c:numRef>
          </c:val>
        </c:ser>
        <c:ser>
          <c:idx val="2"/>
          <c:order val="2"/>
          <c:val>
            <c:numLit>
              <c:formatCode>General</c:formatCode>
              <c:ptCount val="1"/>
              <c:pt idx="0">
                <c:v>0</c:v>
              </c:pt>
            </c:numLit>
          </c:val>
        </c:ser>
        <c:ser>
          <c:idx val="3"/>
          <c:order val="3"/>
          <c:tx>
            <c:v>Wykształcenie wyższe</c:v>
          </c:tx>
          <c:val>
            <c:numRef>
              <c:f>Zbiorczy!$K$23</c:f>
              <c:numCache>
                <c:formatCode>General</c:formatCode>
                <c:ptCount val="1"/>
                <c:pt idx="0">
                  <c:v>3.234375</c:v>
                </c:pt>
              </c:numCache>
            </c:numRef>
          </c:val>
        </c:ser>
        <c:ser>
          <c:idx val="4"/>
          <c:order val="4"/>
          <c:tx>
            <c:v>Wykształcenie średnie i policealne</c:v>
          </c:tx>
          <c:val>
            <c:numRef>
              <c:f>Zbiorczy!$N$23</c:f>
              <c:numCache>
                <c:formatCode>General</c:formatCode>
                <c:ptCount val="1"/>
                <c:pt idx="0">
                  <c:v>3.0994152046783627</c:v>
                </c:pt>
              </c:numCache>
            </c:numRef>
          </c:val>
        </c:ser>
        <c:ser>
          <c:idx val="5"/>
          <c:order val="5"/>
          <c:tx>
            <c:v>Wykształcenie zasadnicze zawodowe i poniżej</c:v>
          </c:tx>
          <c:val>
            <c:numRef>
              <c:f>Zbiorczy!$Q$23</c:f>
              <c:numCache>
                <c:formatCode>General</c:formatCode>
                <c:ptCount val="1"/>
                <c:pt idx="0">
                  <c:v>2.7137809187279616</c:v>
                </c:pt>
              </c:numCache>
            </c:numRef>
          </c:val>
        </c:ser>
        <c:ser>
          <c:idx val="6"/>
          <c:order val="6"/>
          <c:val>
            <c:numLit>
              <c:formatCode>General</c:formatCode>
              <c:ptCount val="1"/>
              <c:pt idx="0">
                <c:v>0</c:v>
              </c:pt>
            </c:numLit>
          </c:val>
        </c:ser>
        <c:ser>
          <c:idx val="7"/>
          <c:order val="7"/>
          <c:tx>
            <c:v>Wiek: 18-29</c:v>
          </c:tx>
          <c:val>
            <c:numRef>
              <c:f>Zbiorczy!$T$23</c:f>
              <c:numCache>
                <c:formatCode>General</c:formatCode>
                <c:ptCount val="1"/>
                <c:pt idx="0">
                  <c:v>3.2323232323232332</c:v>
                </c:pt>
              </c:numCache>
            </c:numRef>
          </c:val>
        </c:ser>
        <c:ser>
          <c:idx val="8"/>
          <c:order val="8"/>
          <c:tx>
            <c:v>Wiek: 30-39</c:v>
          </c:tx>
          <c:val>
            <c:numRef>
              <c:f>Zbiorczy!$W$23</c:f>
              <c:numCache>
                <c:formatCode>General</c:formatCode>
                <c:ptCount val="1"/>
                <c:pt idx="0">
                  <c:v>3.0329670329670342</c:v>
                </c:pt>
              </c:numCache>
            </c:numRef>
          </c:val>
        </c:ser>
        <c:ser>
          <c:idx val="9"/>
          <c:order val="9"/>
          <c:tx>
            <c:v>Wiek: 40-59</c:v>
          </c:tx>
          <c:val>
            <c:numRef>
              <c:f>Zbiorczy!$Z$23</c:f>
              <c:numCache>
                <c:formatCode>General</c:formatCode>
                <c:ptCount val="1"/>
                <c:pt idx="0">
                  <c:v>2.90521327014218</c:v>
                </c:pt>
              </c:numCache>
            </c:numRef>
          </c:val>
        </c:ser>
        <c:ser>
          <c:idx val="10"/>
          <c:order val="10"/>
          <c:tx>
            <c:v>Wiek: 60 i powyżej</c:v>
          </c:tx>
          <c:val>
            <c:numRef>
              <c:f>Zbiorczy!$AC$23</c:f>
              <c:numCache>
                <c:formatCode>General</c:formatCode>
                <c:ptCount val="1"/>
                <c:pt idx="0">
                  <c:v>2.5344827586206895</c:v>
                </c:pt>
              </c:numCache>
            </c:numRef>
          </c:val>
        </c:ser>
        <c:axId val="186480512"/>
        <c:axId val="186482048"/>
      </c:barChart>
      <c:catAx>
        <c:axId val="186480512"/>
        <c:scaling>
          <c:orientation val="minMax"/>
        </c:scaling>
        <c:delete val="1"/>
        <c:axPos val="b"/>
        <c:tickLblPos val="none"/>
        <c:crossAx val="186482048"/>
        <c:crosses val="autoZero"/>
        <c:auto val="1"/>
        <c:lblAlgn val="ctr"/>
        <c:lblOffset val="100"/>
      </c:catAx>
      <c:valAx>
        <c:axId val="186482048"/>
        <c:scaling>
          <c:orientation val="minMax"/>
        </c:scaling>
        <c:axPos val="l"/>
        <c:numFmt formatCode="General" sourceLinked="1"/>
        <c:tickLblPos val="nextTo"/>
        <c:txPr>
          <a:bodyPr/>
          <a:lstStyle/>
          <a:p>
            <a:pPr>
              <a:defRPr sz="800"/>
            </a:pPr>
            <a:endParaRPr lang="pl-PL"/>
          </a:p>
        </c:txPr>
        <c:crossAx val="186480512"/>
        <c:crosses val="autoZero"/>
        <c:crossBetween val="between"/>
      </c:valAx>
    </c:plotArea>
    <c:legend>
      <c:legendPos val="b"/>
      <c:legendEntry>
        <c:idx val="2"/>
        <c:delete val="1"/>
      </c:legendEntry>
      <c:legendEntry>
        <c:idx val="6"/>
        <c:delete val="1"/>
      </c:legendEntry>
      <c:layout>
        <c:manualLayout>
          <c:xMode val="edge"/>
          <c:yMode val="edge"/>
          <c:x val="6.5455186157285891E-2"/>
          <c:y val="0.72029542544770764"/>
          <c:w val="0.90436299629212957"/>
          <c:h val="0.25946413298129484"/>
        </c:manualLayout>
      </c:layout>
      <c:txPr>
        <a:bodyPr/>
        <a:lstStyle/>
        <a:p>
          <a:pPr>
            <a:defRPr sz="800"/>
          </a:pPr>
          <a:endParaRPr lang="pl-PL"/>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sz="900"/>
                </a:pPr>
                <a:endParaRPr lang="pl-PL"/>
              </a:p>
            </c:txPr>
            <c:showSerName val="1"/>
          </c:dLbls>
          <c:cat>
            <c:strRef>
              <c:f>Zbiorczy!$C$28:$D$28</c:f>
              <c:strCache>
                <c:ptCount val="2"/>
                <c:pt idx="0">
                  <c:v>NIE</c:v>
                </c:pt>
                <c:pt idx="1">
                  <c:v>TAK</c:v>
                </c:pt>
              </c:strCache>
            </c:strRef>
          </c:cat>
          <c:val>
            <c:numRef>
              <c:f>Zbiorczy!$C$25:$D$25</c:f>
              <c:numCache>
                <c:formatCode>0%</c:formatCode>
                <c:ptCount val="2"/>
                <c:pt idx="0">
                  <c:v>0.57627118644067865</c:v>
                </c:pt>
                <c:pt idx="1">
                  <c:v>0.42372881355932512</c:v>
                </c:pt>
              </c:numCache>
            </c:numRef>
          </c:val>
        </c:ser>
        <c:ser>
          <c:idx val="1"/>
          <c:order val="1"/>
          <c:tx>
            <c:v>Kobiety</c:v>
          </c:tx>
          <c:dLbls>
            <c:txPr>
              <a:bodyPr rot="-5400000" vert="horz"/>
              <a:lstStyle/>
              <a:p>
                <a:pPr>
                  <a:defRPr sz="900"/>
                </a:pPr>
                <a:endParaRPr lang="pl-PL"/>
              </a:p>
            </c:txPr>
            <c:showSerName val="1"/>
          </c:dLbls>
          <c:val>
            <c:numRef>
              <c:f>Zbiorczy!$F$25:$G$25</c:f>
              <c:numCache>
                <c:formatCode>0%</c:formatCode>
                <c:ptCount val="2"/>
                <c:pt idx="0">
                  <c:v>0.71180555555556191</c:v>
                </c:pt>
                <c:pt idx="1">
                  <c:v>0.28819444444444442</c:v>
                </c:pt>
              </c:numCache>
            </c:numRef>
          </c:val>
        </c:ser>
        <c:ser>
          <c:idx val="9"/>
          <c:order val="2"/>
          <c:val>
            <c:numLit>
              <c:formatCode>General</c:formatCode>
              <c:ptCount val="1"/>
              <c:pt idx="0">
                <c:v>0</c:v>
              </c:pt>
            </c:numLit>
          </c:val>
        </c:ser>
        <c:ser>
          <c:idx val="2"/>
          <c:order val="3"/>
          <c:tx>
            <c:v>Wykształcenie wyższe</c:v>
          </c:tx>
          <c:val>
            <c:numRef>
              <c:f>Zbiorczy!$I$25:$J$25</c:f>
              <c:numCache>
                <c:formatCode>0%</c:formatCode>
                <c:ptCount val="2"/>
                <c:pt idx="0">
                  <c:v>0.29230769230769693</c:v>
                </c:pt>
                <c:pt idx="1">
                  <c:v>0.70769230769230773</c:v>
                </c:pt>
              </c:numCache>
            </c:numRef>
          </c:val>
        </c:ser>
        <c:ser>
          <c:idx val="3"/>
          <c:order val="4"/>
          <c:tx>
            <c:v>Wykształcenie średnie i policealne</c:v>
          </c:tx>
          <c:val>
            <c:numRef>
              <c:f>Zbiorczy!$L$25:$M$25</c:f>
              <c:numCache>
                <c:formatCode>0%</c:formatCode>
                <c:ptCount val="2"/>
                <c:pt idx="0">
                  <c:v>0.59883720930231976</c:v>
                </c:pt>
                <c:pt idx="1">
                  <c:v>0.40116279069767774</c:v>
                </c:pt>
              </c:numCache>
            </c:numRef>
          </c:val>
        </c:ser>
        <c:ser>
          <c:idx val="4"/>
          <c:order val="5"/>
          <c:tx>
            <c:v>Wykształcenie zasadnicze zawodowe i poniżej</c:v>
          </c:tx>
          <c:val>
            <c:numRef>
              <c:f>Zbiorczy!$O$25:$P$25</c:f>
              <c:numCache>
                <c:formatCode>0%</c:formatCode>
                <c:ptCount val="2"/>
                <c:pt idx="0">
                  <c:v>0.76573426573426551</c:v>
                </c:pt>
                <c:pt idx="1">
                  <c:v>0.23426573426573441</c:v>
                </c:pt>
              </c:numCache>
            </c:numRef>
          </c:val>
        </c:ser>
        <c:ser>
          <c:idx val="10"/>
          <c:order val="6"/>
          <c:val>
            <c:numLit>
              <c:formatCode>General</c:formatCode>
              <c:ptCount val="1"/>
              <c:pt idx="0">
                <c:v>0</c:v>
              </c:pt>
            </c:numLit>
          </c:val>
        </c:ser>
        <c:ser>
          <c:idx val="5"/>
          <c:order val="7"/>
          <c:tx>
            <c:v>Wiek: 18-29</c:v>
          </c:tx>
          <c:val>
            <c:numRef>
              <c:f>Zbiorczy!$R$25:$S$25</c:f>
              <c:numCache>
                <c:formatCode>0%</c:formatCode>
                <c:ptCount val="2"/>
                <c:pt idx="0">
                  <c:v>0.66666666666666663</c:v>
                </c:pt>
                <c:pt idx="1">
                  <c:v>0.33333333333333331</c:v>
                </c:pt>
              </c:numCache>
            </c:numRef>
          </c:val>
        </c:ser>
        <c:ser>
          <c:idx val="6"/>
          <c:order val="8"/>
          <c:tx>
            <c:v>Wiek: 30-39</c:v>
          </c:tx>
          <c:val>
            <c:numRef>
              <c:f>Zbiorczy!$U$25:$V$25</c:f>
              <c:numCache>
                <c:formatCode>0%</c:formatCode>
                <c:ptCount val="2"/>
                <c:pt idx="0">
                  <c:v>0.52127659574467566</c:v>
                </c:pt>
                <c:pt idx="1">
                  <c:v>0.47872340425531917</c:v>
                </c:pt>
              </c:numCache>
            </c:numRef>
          </c:val>
        </c:ser>
        <c:ser>
          <c:idx val="7"/>
          <c:order val="9"/>
          <c:tx>
            <c:v>Wiek: 40-59</c:v>
          </c:tx>
          <c:val>
            <c:numRef>
              <c:f>Zbiorczy!$X$25:$Y$25</c:f>
              <c:numCache>
                <c:formatCode>0%</c:formatCode>
                <c:ptCount val="2"/>
                <c:pt idx="0">
                  <c:v>0.61137440758293871</c:v>
                </c:pt>
                <c:pt idx="1">
                  <c:v>0.38862559241706496</c:v>
                </c:pt>
              </c:numCache>
            </c:numRef>
          </c:val>
        </c:ser>
        <c:ser>
          <c:idx val="8"/>
          <c:order val="10"/>
          <c:tx>
            <c:v>Wiek: 60 i powyżej</c:v>
          </c:tx>
          <c:val>
            <c:numRef>
              <c:f>Zbiorczy!$AA$25:$AB$25</c:f>
              <c:numCache>
                <c:formatCode>0%</c:formatCode>
                <c:ptCount val="2"/>
                <c:pt idx="0">
                  <c:v>0.82608695652173914</c:v>
                </c:pt>
                <c:pt idx="1">
                  <c:v>0.17391304347826347</c:v>
                </c:pt>
              </c:numCache>
            </c:numRef>
          </c:val>
        </c:ser>
        <c:gapWidth val="136"/>
        <c:overlap val="-15"/>
        <c:axId val="186577280"/>
        <c:axId val="186578816"/>
      </c:barChart>
      <c:catAx>
        <c:axId val="186577280"/>
        <c:scaling>
          <c:orientation val="minMax"/>
        </c:scaling>
        <c:axPos val="b"/>
        <c:majorGridlines/>
        <c:tickLblPos val="nextTo"/>
        <c:crossAx val="186578816"/>
        <c:crosses val="autoZero"/>
        <c:auto val="1"/>
        <c:lblAlgn val="ctr"/>
        <c:lblOffset val="100"/>
      </c:catAx>
      <c:valAx>
        <c:axId val="186578816"/>
        <c:scaling>
          <c:orientation val="minMax"/>
        </c:scaling>
        <c:axPos val="l"/>
        <c:numFmt formatCode="0%" sourceLinked="1"/>
        <c:tickLblPos val="nextTo"/>
        <c:txPr>
          <a:bodyPr/>
          <a:lstStyle/>
          <a:p>
            <a:pPr>
              <a:defRPr sz="800"/>
            </a:pPr>
            <a:endParaRPr lang="pl-PL"/>
          </a:p>
        </c:txPr>
        <c:crossAx val="18657728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txPr>
        <a:bodyPr/>
        <a:lstStyle/>
        <a:p>
          <a:pPr>
            <a:defRPr sz="800"/>
          </a:pPr>
          <a:endParaRPr lang="pl-PL"/>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pl-PL"/>
  <c:style val="26"/>
  <c:chart>
    <c:plotArea>
      <c:layout/>
      <c:barChart>
        <c:barDir val="col"/>
        <c:grouping val="clustered"/>
        <c:ser>
          <c:idx val="0"/>
          <c:order val="0"/>
          <c:tx>
            <c:v>Mężczyźni</c:v>
          </c:tx>
          <c:dLbls>
            <c:txPr>
              <a:bodyPr rot="-5400000" vert="horz"/>
              <a:lstStyle/>
              <a:p>
                <a:pPr>
                  <a:defRPr>
                    <a:solidFill>
                      <a:schemeClr val="bg1"/>
                    </a:solidFill>
                  </a:defRPr>
                </a:pPr>
                <a:endParaRPr lang="pl-PL"/>
              </a:p>
            </c:txPr>
            <c:dLblPos val="ctr"/>
            <c:showSerName val="1"/>
          </c:dLbls>
          <c:val>
            <c:numRef>
              <c:f>Zbiorczy!$E$3</c:f>
              <c:numCache>
                <c:formatCode>General</c:formatCode>
                <c:ptCount val="1"/>
                <c:pt idx="0">
                  <c:v>3.2875536480687026</c:v>
                </c:pt>
              </c:numCache>
            </c:numRef>
          </c:val>
        </c:ser>
        <c:ser>
          <c:idx val="1"/>
          <c:order val="1"/>
          <c:tx>
            <c:v>Kobiety</c:v>
          </c:tx>
          <c:dLbls>
            <c:txPr>
              <a:bodyPr rot="-5400000" vert="horz"/>
              <a:lstStyle/>
              <a:p>
                <a:pPr>
                  <a:defRPr>
                    <a:solidFill>
                      <a:schemeClr val="bg1"/>
                    </a:solidFill>
                  </a:defRPr>
                </a:pPr>
                <a:endParaRPr lang="pl-PL"/>
              </a:p>
            </c:txPr>
            <c:dLblPos val="ctr"/>
            <c:showSerName val="1"/>
          </c:dLbls>
          <c:val>
            <c:numRef>
              <c:f>Zbiorczy!$H$3</c:f>
              <c:numCache>
                <c:formatCode>General</c:formatCode>
                <c:ptCount val="1"/>
                <c:pt idx="0">
                  <c:v>3.5255972696245812</c:v>
                </c:pt>
              </c:numCache>
            </c:numRef>
          </c:val>
        </c:ser>
        <c:ser>
          <c:idx val="9"/>
          <c:order val="2"/>
          <c:val>
            <c:numLit>
              <c:formatCode>General</c:formatCode>
              <c:ptCount val="1"/>
              <c:pt idx="0">
                <c:v>0</c:v>
              </c:pt>
            </c:numLit>
          </c:val>
        </c:ser>
        <c:ser>
          <c:idx val="2"/>
          <c:order val="3"/>
          <c:tx>
            <c:v>Wykształcenie wyższe</c:v>
          </c:tx>
          <c:val>
            <c:numRef>
              <c:f>Zbiorczy!$K$3</c:f>
              <c:numCache>
                <c:formatCode>General</c:formatCode>
                <c:ptCount val="1"/>
                <c:pt idx="0">
                  <c:v>3.2985074626866004</c:v>
                </c:pt>
              </c:numCache>
            </c:numRef>
          </c:val>
        </c:ser>
        <c:ser>
          <c:idx val="3"/>
          <c:order val="4"/>
          <c:tx>
            <c:v>Wykształcenie średnie i policealne</c:v>
          </c:tx>
          <c:val>
            <c:numRef>
              <c:f>Zbiorczy!$N$3</c:f>
              <c:numCache>
                <c:formatCode>General</c:formatCode>
                <c:ptCount val="1"/>
                <c:pt idx="0">
                  <c:v>3.4971098265895955</c:v>
                </c:pt>
              </c:numCache>
            </c:numRef>
          </c:val>
        </c:ser>
        <c:ser>
          <c:idx val="4"/>
          <c:order val="5"/>
          <c:tx>
            <c:v>Wykształcenie zasadnicze zawodowe i poniżej</c:v>
          </c:tx>
          <c:val>
            <c:numRef>
              <c:f>Zbiorczy!$Q$3</c:f>
              <c:numCache>
                <c:formatCode>General</c:formatCode>
                <c:ptCount val="1"/>
                <c:pt idx="0">
                  <c:v>3.4</c:v>
                </c:pt>
              </c:numCache>
            </c:numRef>
          </c:val>
        </c:ser>
        <c:ser>
          <c:idx val="10"/>
          <c:order val="6"/>
          <c:val>
            <c:numLit>
              <c:formatCode>General</c:formatCode>
              <c:ptCount val="1"/>
              <c:pt idx="0">
                <c:v>0</c:v>
              </c:pt>
            </c:numLit>
          </c:val>
        </c:ser>
        <c:ser>
          <c:idx val="5"/>
          <c:order val="7"/>
          <c:tx>
            <c:v>Wiek: 18-29</c:v>
          </c:tx>
          <c:val>
            <c:numRef>
              <c:f>Zbiorczy!$T$3</c:f>
              <c:numCache>
                <c:formatCode>General</c:formatCode>
                <c:ptCount val="1"/>
                <c:pt idx="0">
                  <c:v>3.8099999999999987</c:v>
                </c:pt>
              </c:numCache>
            </c:numRef>
          </c:val>
        </c:ser>
        <c:ser>
          <c:idx val="6"/>
          <c:order val="8"/>
          <c:tx>
            <c:v>Wiek: 30-39</c:v>
          </c:tx>
          <c:val>
            <c:numRef>
              <c:f>Zbiorczy!$W$3</c:f>
              <c:numCache>
                <c:formatCode>General</c:formatCode>
                <c:ptCount val="1"/>
                <c:pt idx="0">
                  <c:v>3.6666666666666665</c:v>
                </c:pt>
              </c:numCache>
            </c:numRef>
          </c:val>
        </c:ser>
        <c:ser>
          <c:idx val="7"/>
          <c:order val="9"/>
          <c:tx>
            <c:v>Wiek: 40-59</c:v>
          </c:tx>
          <c:val>
            <c:numRef>
              <c:f>Zbiorczy!$Z$3</c:f>
              <c:numCache>
                <c:formatCode>General</c:formatCode>
                <c:ptCount val="1"/>
                <c:pt idx="0">
                  <c:v>3.6839622641509706</c:v>
                </c:pt>
              </c:numCache>
            </c:numRef>
          </c:val>
        </c:ser>
        <c:ser>
          <c:idx val="8"/>
          <c:order val="10"/>
          <c:tx>
            <c:v>Wiek: 60 i powyżej</c:v>
          </c:tx>
          <c:val>
            <c:numRef>
              <c:f>Zbiorczy!$AC$3</c:f>
              <c:numCache>
                <c:formatCode>General</c:formatCode>
                <c:ptCount val="1"/>
                <c:pt idx="0">
                  <c:v>2.3793103448275872</c:v>
                </c:pt>
              </c:numCache>
            </c:numRef>
          </c:val>
        </c:ser>
        <c:axId val="183928320"/>
        <c:axId val="183929856"/>
      </c:barChart>
      <c:catAx>
        <c:axId val="183928320"/>
        <c:scaling>
          <c:orientation val="minMax"/>
        </c:scaling>
        <c:delete val="1"/>
        <c:axPos val="b"/>
        <c:tickLblPos val="none"/>
        <c:crossAx val="183929856"/>
        <c:crosses val="autoZero"/>
        <c:auto val="1"/>
        <c:lblAlgn val="ctr"/>
        <c:lblOffset val="100"/>
      </c:catAx>
      <c:valAx>
        <c:axId val="183929856"/>
        <c:scaling>
          <c:orientation val="minMax"/>
          <c:max val="4"/>
        </c:scaling>
        <c:axPos val="l"/>
        <c:numFmt formatCode="General" sourceLinked="1"/>
        <c:tickLblPos val="nextTo"/>
        <c:txPr>
          <a:bodyPr/>
          <a:lstStyle/>
          <a:p>
            <a:pPr>
              <a:defRPr sz="800"/>
            </a:pPr>
            <a:endParaRPr lang="pl-PL"/>
          </a:p>
        </c:txPr>
        <c:crossAx val="183928320"/>
        <c:crosses val="autoZero"/>
        <c:crossBetween val="between"/>
      </c:valAx>
    </c:plotArea>
    <c:legend>
      <c:legendPos val="b"/>
      <c:legendEntry>
        <c:idx val="0"/>
        <c:delete val="1"/>
      </c:legendEntry>
      <c:legendEntry>
        <c:idx val="1"/>
        <c:delete val="1"/>
      </c:legendEntry>
      <c:legendEntry>
        <c:idx val="2"/>
        <c:delete val="1"/>
      </c:legendEntry>
      <c:legendEntry>
        <c:idx val="6"/>
        <c:delete val="1"/>
      </c:legendEntry>
      <c:txPr>
        <a:bodyPr/>
        <a:lstStyle/>
        <a:p>
          <a:pPr>
            <a:defRPr sz="800"/>
          </a:pPr>
          <a:endParaRPr lang="pl-PL"/>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pl-PL"/>
  <c:style val="26"/>
  <c:chart>
    <c:autoTitleDeleted val="1"/>
    <c:plotArea>
      <c:layout>
        <c:manualLayout>
          <c:layoutTarget val="inner"/>
          <c:xMode val="edge"/>
          <c:yMode val="edge"/>
          <c:x val="0.1296005863743418"/>
          <c:y val="5.7789493772142583E-2"/>
          <c:w val="0.84028305496720457"/>
          <c:h val="0.75758735331798077"/>
        </c:manualLayout>
      </c:layout>
      <c:lineChart>
        <c:grouping val="standard"/>
        <c:ser>
          <c:idx val="0"/>
          <c:order val="0"/>
          <c:tx>
            <c:strRef>
              <c:f>'Dane wg podgr. cech'!$C$6:$J$6</c:f>
              <c:strCache>
                <c:ptCount val="1"/>
                <c:pt idx="0">
                  <c:v>ogółem</c:v>
                </c:pt>
              </c:strCache>
            </c:strRef>
          </c:tx>
          <c:marker>
            <c:symbol val="diamond"/>
            <c:size val="8"/>
          </c:marker>
          <c:cat>
            <c:strRef>
              <c:f>'Dane wg podgr. cech'!$K$7:$R$7</c:f>
              <c:strCache>
                <c:ptCount val="8"/>
                <c:pt idx="0">
                  <c:v>2003</c:v>
                </c:pt>
                <c:pt idx="1">
                  <c:v>2004</c:v>
                </c:pt>
                <c:pt idx="2">
                  <c:v>2005</c:v>
                </c:pt>
                <c:pt idx="3">
                  <c:v>2006</c:v>
                </c:pt>
                <c:pt idx="4">
                  <c:v>2007</c:v>
                </c:pt>
                <c:pt idx="5">
                  <c:v>2008</c:v>
                </c:pt>
                <c:pt idx="6">
                  <c:v>2009</c:v>
                </c:pt>
                <c:pt idx="7">
                  <c:v>2010</c:v>
                </c:pt>
              </c:strCache>
            </c:strRef>
          </c:cat>
          <c:val>
            <c:numRef>
              <c:f>'Dane wg podgr. cech'!$C$11:$J$11</c:f>
              <c:numCache>
                <c:formatCode>#,##0</c:formatCode>
                <c:ptCount val="8"/>
                <c:pt idx="0">
                  <c:v>5244</c:v>
                </c:pt>
                <c:pt idx="1">
                  <c:v>4992</c:v>
                </c:pt>
                <c:pt idx="2">
                  <c:v>4575</c:v>
                </c:pt>
                <c:pt idx="3">
                  <c:v>3882</c:v>
                </c:pt>
                <c:pt idx="4">
                  <c:v>2395</c:v>
                </c:pt>
                <c:pt idx="5">
                  <c:v>2337</c:v>
                </c:pt>
                <c:pt idx="6">
                  <c:v>3169</c:v>
                </c:pt>
                <c:pt idx="7">
                  <c:v>3011</c:v>
                </c:pt>
              </c:numCache>
            </c:numRef>
          </c:val>
        </c:ser>
        <c:ser>
          <c:idx val="1"/>
          <c:order val="1"/>
          <c:tx>
            <c:strRef>
              <c:f>'Dane wg podgr. cech'!$K$6:$R$6</c:f>
              <c:strCache>
                <c:ptCount val="1"/>
                <c:pt idx="0">
                  <c:v>mężczyźni</c:v>
                </c:pt>
              </c:strCache>
            </c:strRef>
          </c:tx>
          <c:marker>
            <c:symbol val="square"/>
            <c:size val="7"/>
          </c:marker>
          <c:cat>
            <c:strRef>
              <c:f>'Dane wg podgr. cech'!$K$7:$R$7</c:f>
              <c:strCache>
                <c:ptCount val="8"/>
                <c:pt idx="0">
                  <c:v>2003</c:v>
                </c:pt>
                <c:pt idx="1">
                  <c:v>2004</c:v>
                </c:pt>
                <c:pt idx="2">
                  <c:v>2005</c:v>
                </c:pt>
                <c:pt idx="3">
                  <c:v>2006</c:v>
                </c:pt>
                <c:pt idx="4">
                  <c:v>2007</c:v>
                </c:pt>
                <c:pt idx="5">
                  <c:v>2008</c:v>
                </c:pt>
                <c:pt idx="6">
                  <c:v>2009</c:v>
                </c:pt>
                <c:pt idx="7">
                  <c:v>2010</c:v>
                </c:pt>
              </c:strCache>
            </c:strRef>
          </c:cat>
          <c:val>
            <c:numRef>
              <c:f>'Dane wg podgr. cech'!$K$11:$R$11</c:f>
              <c:numCache>
                <c:formatCode>#,##0</c:formatCode>
                <c:ptCount val="8"/>
                <c:pt idx="0">
                  <c:v>2624</c:v>
                </c:pt>
                <c:pt idx="1">
                  <c:v>2489</c:v>
                </c:pt>
                <c:pt idx="2">
                  <c:v>2256</c:v>
                </c:pt>
                <c:pt idx="3">
                  <c:v>1845</c:v>
                </c:pt>
                <c:pt idx="4">
                  <c:v>1036</c:v>
                </c:pt>
                <c:pt idx="5">
                  <c:v>1037</c:v>
                </c:pt>
                <c:pt idx="6">
                  <c:v>1534</c:v>
                </c:pt>
                <c:pt idx="7">
                  <c:v>1358</c:v>
                </c:pt>
              </c:numCache>
            </c:numRef>
          </c:val>
        </c:ser>
        <c:ser>
          <c:idx val="2"/>
          <c:order val="2"/>
          <c:tx>
            <c:strRef>
              <c:f>'Dane wg podgr. cech'!$S$6:$Z$6</c:f>
              <c:strCache>
                <c:ptCount val="1"/>
                <c:pt idx="0">
                  <c:v>kobiety</c:v>
                </c:pt>
              </c:strCache>
            </c:strRef>
          </c:tx>
          <c:marker>
            <c:symbol val="triangle"/>
            <c:size val="8"/>
          </c:marker>
          <c:cat>
            <c:strRef>
              <c:f>'Dane wg podgr. cech'!$K$7:$R$7</c:f>
              <c:strCache>
                <c:ptCount val="8"/>
                <c:pt idx="0">
                  <c:v>2003</c:v>
                </c:pt>
                <c:pt idx="1">
                  <c:v>2004</c:v>
                </c:pt>
                <c:pt idx="2">
                  <c:v>2005</c:v>
                </c:pt>
                <c:pt idx="3">
                  <c:v>2006</c:v>
                </c:pt>
                <c:pt idx="4">
                  <c:v>2007</c:v>
                </c:pt>
                <c:pt idx="5">
                  <c:v>2008</c:v>
                </c:pt>
                <c:pt idx="6">
                  <c:v>2009</c:v>
                </c:pt>
                <c:pt idx="7">
                  <c:v>2010</c:v>
                </c:pt>
              </c:strCache>
            </c:strRef>
          </c:cat>
          <c:val>
            <c:numRef>
              <c:f>'Dane wg podgr. cech'!$S$11:$Z$11</c:f>
              <c:numCache>
                <c:formatCode>#,##0</c:formatCode>
                <c:ptCount val="8"/>
                <c:pt idx="0">
                  <c:v>2620</c:v>
                </c:pt>
                <c:pt idx="1">
                  <c:v>2503</c:v>
                </c:pt>
                <c:pt idx="2">
                  <c:v>2319</c:v>
                </c:pt>
                <c:pt idx="3">
                  <c:v>2037</c:v>
                </c:pt>
                <c:pt idx="4">
                  <c:v>1359</c:v>
                </c:pt>
                <c:pt idx="5">
                  <c:v>1300</c:v>
                </c:pt>
                <c:pt idx="6">
                  <c:v>1635</c:v>
                </c:pt>
                <c:pt idx="7">
                  <c:v>1653</c:v>
                </c:pt>
              </c:numCache>
            </c:numRef>
          </c:val>
        </c:ser>
        <c:marker val="1"/>
        <c:axId val="184386688"/>
        <c:axId val="184388224"/>
      </c:lineChart>
      <c:catAx>
        <c:axId val="184386688"/>
        <c:scaling>
          <c:orientation val="minMax"/>
        </c:scaling>
        <c:axPos val="b"/>
        <c:majorTickMark val="none"/>
        <c:tickLblPos val="nextTo"/>
        <c:txPr>
          <a:bodyPr/>
          <a:lstStyle/>
          <a:p>
            <a:pPr>
              <a:defRPr sz="900"/>
            </a:pPr>
            <a:endParaRPr lang="pl-PL"/>
          </a:p>
        </c:txPr>
        <c:crossAx val="184388224"/>
        <c:crosses val="autoZero"/>
        <c:auto val="1"/>
        <c:lblAlgn val="ctr"/>
        <c:lblOffset val="100"/>
      </c:catAx>
      <c:valAx>
        <c:axId val="184388224"/>
        <c:scaling>
          <c:orientation val="minMax"/>
        </c:scaling>
        <c:axPos val="l"/>
        <c:majorGridlines/>
        <c:title>
          <c:tx>
            <c:rich>
              <a:bodyPr/>
              <a:lstStyle/>
              <a:p>
                <a:pPr>
                  <a:defRPr/>
                </a:pPr>
                <a:r>
                  <a:rPr lang="en-US" b="0"/>
                  <a:t>os</a:t>
                </a:r>
                <a:r>
                  <a:rPr lang="pl-PL" b="0"/>
                  <a:t>oby</a:t>
                </a:r>
                <a:endParaRPr lang="en-US"/>
              </a:p>
            </c:rich>
          </c:tx>
        </c:title>
        <c:numFmt formatCode="#,##0" sourceLinked="1"/>
        <c:majorTickMark val="none"/>
        <c:tickLblPos val="nextTo"/>
        <c:txPr>
          <a:bodyPr/>
          <a:lstStyle/>
          <a:p>
            <a:pPr>
              <a:defRPr sz="900"/>
            </a:pPr>
            <a:endParaRPr lang="pl-PL"/>
          </a:p>
        </c:txPr>
        <c:crossAx val="184386688"/>
        <c:crosses val="autoZero"/>
        <c:crossBetween val="between"/>
      </c:valAx>
    </c:plotArea>
    <c:legend>
      <c:legendPos val="b"/>
      <c:layout>
        <c:manualLayout>
          <c:xMode val="edge"/>
          <c:yMode val="edge"/>
          <c:x val="0.21988379441067041"/>
          <c:y val="0.92517737964930469"/>
          <c:w val="0.53832695256889707"/>
          <c:h val="7.0636767150215177E-2"/>
        </c:manualLayout>
      </c:layout>
      <c:txPr>
        <a:bodyPr/>
        <a:lstStyle/>
        <a:p>
          <a:pPr>
            <a:defRPr sz="900"/>
          </a:pPr>
          <a:endParaRPr lang="pl-PL"/>
        </a:p>
      </c:txPr>
    </c:legend>
    <c:plotVisOnly val="1"/>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ED59C-84C8-41DF-8042-9246AE961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99</Pages>
  <Words>34702</Words>
  <Characters>208215</Characters>
  <Application>Microsoft Office Word</Application>
  <DocSecurity>0</DocSecurity>
  <Lines>1735</Lines>
  <Paragraphs>484</Paragraphs>
  <ScaleCrop>false</ScaleCrop>
  <HeadingPairs>
    <vt:vector size="2" baseType="variant">
      <vt:variant>
        <vt:lpstr>Tytuł</vt:lpstr>
      </vt:variant>
      <vt:variant>
        <vt:i4>1</vt:i4>
      </vt:variant>
    </vt:vector>
  </HeadingPairs>
  <TitlesOfParts>
    <vt:vector size="1" baseType="lpstr">
      <vt:lpstr>Diagnoza społeczno-gospodarcza Miasta Nowa Sól</vt:lpstr>
    </vt:vector>
  </TitlesOfParts>
  <Company>LiderProjekt</Company>
  <LinksUpToDate>false</LinksUpToDate>
  <CharactersWithSpaces>242433</CharactersWithSpaces>
  <SharedDoc>false</SharedDoc>
  <HLinks>
    <vt:vector size="132" baseType="variant">
      <vt:variant>
        <vt:i4>1966140</vt:i4>
      </vt:variant>
      <vt:variant>
        <vt:i4>128</vt:i4>
      </vt:variant>
      <vt:variant>
        <vt:i4>0</vt:i4>
      </vt:variant>
      <vt:variant>
        <vt:i4>5</vt:i4>
      </vt:variant>
      <vt:variant>
        <vt:lpwstr/>
      </vt:variant>
      <vt:variant>
        <vt:lpwstr>_Toc309129417</vt:lpwstr>
      </vt:variant>
      <vt:variant>
        <vt:i4>1966140</vt:i4>
      </vt:variant>
      <vt:variant>
        <vt:i4>122</vt:i4>
      </vt:variant>
      <vt:variant>
        <vt:i4>0</vt:i4>
      </vt:variant>
      <vt:variant>
        <vt:i4>5</vt:i4>
      </vt:variant>
      <vt:variant>
        <vt:lpwstr/>
      </vt:variant>
      <vt:variant>
        <vt:lpwstr>_Toc309129416</vt:lpwstr>
      </vt:variant>
      <vt:variant>
        <vt:i4>1966140</vt:i4>
      </vt:variant>
      <vt:variant>
        <vt:i4>116</vt:i4>
      </vt:variant>
      <vt:variant>
        <vt:i4>0</vt:i4>
      </vt:variant>
      <vt:variant>
        <vt:i4>5</vt:i4>
      </vt:variant>
      <vt:variant>
        <vt:lpwstr/>
      </vt:variant>
      <vt:variant>
        <vt:lpwstr>_Toc309129415</vt:lpwstr>
      </vt:variant>
      <vt:variant>
        <vt:i4>1966140</vt:i4>
      </vt:variant>
      <vt:variant>
        <vt:i4>110</vt:i4>
      </vt:variant>
      <vt:variant>
        <vt:i4>0</vt:i4>
      </vt:variant>
      <vt:variant>
        <vt:i4>5</vt:i4>
      </vt:variant>
      <vt:variant>
        <vt:lpwstr/>
      </vt:variant>
      <vt:variant>
        <vt:lpwstr>_Toc309129414</vt:lpwstr>
      </vt:variant>
      <vt:variant>
        <vt:i4>1966140</vt:i4>
      </vt:variant>
      <vt:variant>
        <vt:i4>104</vt:i4>
      </vt:variant>
      <vt:variant>
        <vt:i4>0</vt:i4>
      </vt:variant>
      <vt:variant>
        <vt:i4>5</vt:i4>
      </vt:variant>
      <vt:variant>
        <vt:lpwstr/>
      </vt:variant>
      <vt:variant>
        <vt:lpwstr>_Toc309129413</vt:lpwstr>
      </vt:variant>
      <vt:variant>
        <vt:i4>1966140</vt:i4>
      </vt:variant>
      <vt:variant>
        <vt:i4>98</vt:i4>
      </vt:variant>
      <vt:variant>
        <vt:i4>0</vt:i4>
      </vt:variant>
      <vt:variant>
        <vt:i4>5</vt:i4>
      </vt:variant>
      <vt:variant>
        <vt:lpwstr/>
      </vt:variant>
      <vt:variant>
        <vt:lpwstr>_Toc309129412</vt:lpwstr>
      </vt:variant>
      <vt:variant>
        <vt:i4>1966140</vt:i4>
      </vt:variant>
      <vt:variant>
        <vt:i4>92</vt:i4>
      </vt:variant>
      <vt:variant>
        <vt:i4>0</vt:i4>
      </vt:variant>
      <vt:variant>
        <vt:i4>5</vt:i4>
      </vt:variant>
      <vt:variant>
        <vt:lpwstr/>
      </vt:variant>
      <vt:variant>
        <vt:lpwstr>_Toc309129411</vt:lpwstr>
      </vt:variant>
      <vt:variant>
        <vt:i4>1966140</vt:i4>
      </vt:variant>
      <vt:variant>
        <vt:i4>86</vt:i4>
      </vt:variant>
      <vt:variant>
        <vt:i4>0</vt:i4>
      </vt:variant>
      <vt:variant>
        <vt:i4>5</vt:i4>
      </vt:variant>
      <vt:variant>
        <vt:lpwstr/>
      </vt:variant>
      <vt:variant>
        <vt:lpwstr>_Toc309129410</vt:lpwstr>
      </vt:variant>
      <vt:variant>
        <vt:i4>2031676</vt:i4>
      </vt:variant>
      <vt:variant>
        <vt:i4>80</vt:i4>
      </vt:variant>
      <vt:variant>
        <vt:i4>0</vt:i4>
      </vt:variant>
      <vt:variant>
        <vt:i4>5</vt:i4>
      </vt:variant>
      <vt:variant>
        <vt:lpwstr/>
      </vt:variant>
      <vt:variant>
        <vt:lpwstr>_Toc309129409</vt:lpwstr>
      </vt:variant>
      <vt:variant>
        <vt:i4>2031676</vt:i4>
      </vt:variant>
      <vt:variant>
        <vt:i4>74</vt:i4>
      </vt:variant>
      <vt:variant>
        <vt:i4>0</vt:i4>
      </vt:variant>
      <vt:variant>
        <vt:i4>5</vt:i4>
      </vt:variant>
      <vt:variant>
        <vt:lpwstr/>
      </vt:variant>
      <vt:variant>
        <vt:lpwstr>_Toc309129408</vt:lpwstr>
      </vt:variant>
      <vt:variant>
        <vt:i4>2031676</vt:i4>
      </vt:variant>
      <vt:variant>
        <vt:i4>68</vt:i4>
      </vt:variant>
      <vt:variant>
        <vt:i4>0</vt:i4>
      </vt:variant>
      <vt:variant>
        <vt:i4>5</vt:i4>
      </vt:variant>
      <vt:variant>
        <vt:lpwstr/>
      </vt:variant>
      <vt:variant>
        <vt:lpwstr>_Toc309129407</vt:lpwstr>
      </vt:variant>
      <vt:variant>
        <vt:i4>2031676</vt:i4>
      </vt:variant>
      <vt:variant>
        <vt:i4>62</vt:i4>
      </vt:variant>
      <vt:variant>
        <vt:i4>0</vt:i4>
      </vt:variant>
      <vt:variant>
        <vt:i4>5</vt:i4>
      </vt:variant>
      <vt:variant>
        <vt:lpwstr/>
      </vt:variant>
      <vt:variant>
        <vt:lpwstr>_Toc309129406</vt:lpwstr>
      </vt:variant>
      <vt:variant>
        <vt:i4>2031676</vt:i4>
      </vt:variant>
      <vt:variant>
        <vt:i4>56</vt:i4>
      </vt:variant>
      <vt:variant>
        <vt:i4>0</vt:i4>
      </vt:variant>
      <vt:variant>
        <vt:i4>5</vt:i4>
      </vt:variant>
      <vt:variant>
        <vt:lpwstr/>
      </vt:variant>
      <vt:variant>
        <vt:lpwstr>_Toc309129405</vt:lpwstr>
      </vt:variant>
      <vt:variant>
        <vt:i4>2031676</vt:i4>
      </vt:variant>
      <vt:variant>
        <vt:i4>50</vt:i4>
      </vt:variant>
      <vt:variant>
        <vt:i4>0</vt:i4>
      </vt:variant>
      <vt:variant>
        <vt:i4>5</vt:i4>
      </vt:variant>
      <vt:variant>
        <vt:lpwstr/>
      </vt:variant>
      <vt:variant>
        <vt:lpwstr>_Toc309129404</vt:lpwstr>
      </vt:variant>
      <vt:variant>
        <vt:i4>2031676</vt:i4>
      </vt:variant>
      <vt:variant>
        <vt:i4>44</vt:i4>
      </vt:variant>
      <vt:variant>
        <vt:i4>0</vt:i4>
      </vt:variant>
      <vt:variant>
        <vt:i4>5</vt:i4>
      </vt:variant>
      <vt:variant>
        <vt:lpwstr/>
      </vt:variant>
      <vt:variant>
        <vt:lpwstr>_Toc309129403</vt:lpwstr>
      </vt:variant>
      <vt:variant>
        <vt:i4>2031676</vt:i4>
      </vt:variant>
      <vt:variant>
        <vt:i4>38</vt:i4>
      </vt:variant>
      <vt:variant>
        <vt:i4>0</vt:i4>
      </vt:variant>
      <vt:variant>
        <vt:i4>5</vt:i4>
      </vt:variant>
      <vt:variant>
        <vt:lpwstr/>
      </vt:variant>
      <vt:variant>
        <vt:lpwstr>_Toc309129402</vt:lpwstr>
      </vt:variant>
      <vt:variant>
        <vt:i4>2031676</vt:i4>
      </vt:variant>
      <vt:variant>
        <vt:i4>32</vt:i4>
      </vt:variant>
      <vt:variant>
        <vt:i4>0</vt:i4>
      </vt:variant>
      <vt:variant>
        <vt:i4>5</vt:i4>
      </vt:variant>
      <vt:variant>
        <vt:lpwstr/>
      </vt:variant>
      <vt:variant>
        <vt:lpwstr>_Toc309129401</vt:lpwstr>
      </vt:variant>
      <vt:variant>
        <vt:i4>2031676</vt:i4>
      </vt:variant>
      <vt:variant>
        <vt:i4>26</vt:i4>
      </vt:variant>
      <vt:variant>
        <vt:i4>0</vt:i4>
      </vt:variant>
      <vt:variant>
        <vt:i4>5</vt:i4>
      </vt:variant>
      <vt:variant>
        <vt:lpwstr/>
      </vt:variant>
      <vt:variant>
        <vt:lpwstr>_Toc309129400</vt:lpwstr>
      </vt:variant>
      <vt:variant>
        <vt:i4>1441851</vt:i4>
      </vt:variant>
      <vt:variant>
        <vt:i4>20</vt:i4>
      </vt:variant>
      <vt:variant>
        <vt:i4>0</vt:i4>
      </vt:variant>
      <vt:variant>
        <vt:i4>5</vt:i4>
      </vt:variant>
      <vt:variant>
        <vt:lpwstr/>
      </vt:variant>
      <vt:variant>
        <vt:lpwstr>_Toc309129399</vt:lpwstr>
      </vt:variant>
      <vt:variant>
        <vt:i4>1441851</vt:i4>
      </vt:variant>
      <vt:variant>
        <vt:i4>14</vt:i4>
      </vt:variant>
      <vt:variant>
        <vt:i4>0</vt:i4>
      </vt:variant>
      <vt:variant>
        <vt:i4>5</vt:i4>
      </vt:variant>
      <vt:variant>
        <vt:lpwstr/>
      </vt:variant>
      <vt:variant>
        <vt:lpwstr>_Toc309129398</vt:lpwstr>
      </vt:variant>
      <vt:variant>
        <vt:i4>1441851</vt:i4>
      </vt:variant>
      <vt:variant>
        <vt:i4>8</vt:i4>
      </vt:variant>
      <vt:variant>
        <vt:i4>0</vt:i4>
      </vt:variant>
      <vt:variant>
        <vt:i4>5</vt:i4>
      </vt:variant>
      <vt:variant>
        <vt:lpwstr/>
      </vt:variant>
      <vt:variant>
        <vt:lpwstr>_Toc309129397</vt:lpwstr>
      </vt:variant>
      <vt:variant>
        <vt:i4>1441851</vt:i4>
      </vt:variant>
      <vt:variant>
        <vt:i4>2</vt:i4>
      </vt:variant>
      <vt:variant>
        <vt:i4>0</vt:i4>
      </vt:variant>
      <vt:variant>
        <vt:i4>5</vt:i4>
      </vt:variant>
      <vt:variant>
        <vt:lpwstr/>
      </vt:variant>
      <vt:variant>
        <vt:lpwstr>_Toc309129396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Diagnoza społeczno-gospodarcza Miasta Nowa Sól</dc:title>
  <dc:subject/>
  <dc:creator>user</dc:creator>
  <cp:keywords/>
  <dc:description/>
  <cp:lastModifiedBy>liderprojekt</cp:lastModifiedBy>
  <cp:revision>29</cp:revision>
  <cp:lastPrinted>2011-12-02T09:49:00Z</cp:lastPrinted>
  <dcterms:created xsi:type="dcterms:W3CDTF">2012-01-28T09:14:00Z</dcterms:created>
  <dcterms:modified xsi:type="dcterms:W3CDTF">2012-02-07T15:35:00Z</dcterms:modified>
</cp:coreProperties>
</file>